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31084757"/>
    <w:p w14:paraId="69D67652" w14:textId="33F2B349" w:rsidR="003D283B" w:rsidRPr="0035034A" w:rsidRDefault="003D283B" w:rsidP="003D283B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CDB8B65" wp14:editId="7D7F6FF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FB1B1D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#11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9bis-e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</w:t>
      </w:r>
      <w:r w:rsidRPr="00B2653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</w:t>
      </w:r>
      <w:r w:rsidR="00DF2ECD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1442</w:t>
      </w:r>
    </w:p>
    <w:p w14:paraId="4BF14776" w14:textId="638628E3" w:rsidR="00AA3FAE" w:rsidRPr="00AA3FAE" w:rsidRDefault="003D283B" w:rsidP="003D283B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O</w:t>
      </w:r>
      <w:r>
        <w:rPr>
          <w:rFonts w:ascii="Arial" w:eastAsia="宋体" w:hAnsi="Arial" w:cs="黑体" w:hint="eastAsia"/>
          <w:b/>
          <w:bCs/>
          <w:noProof/>
          <w:kern w:val="0"/>
          <w:sz w:val="24"/>
        </w:rPr>
        <w:t>nline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, 17</w:t>
      </w:r>
      <w:r>
        <w:rPr>
          <w:rFonts w:ascii="Arial" w:eastAsia="宋体" w:hAnsi="Arial" w:cs="黑体" w:hint="eastAsia"/>
          <w:b/>
          <w:bCs/>
          <w:noProof/>
          <w:kern w:val="0"/>
          <w:sz w:val="24"/>
          <w:vertAlign w:val="superscript"/>
        </w:rPr>
        <w:t>t</w:t>
      </w:r>
      <w:r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h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26</w:t>
      </w:r>
      <w:r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April</w:t>
      </w:r>
      <w:r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3</w:t>
      </w:r>
      <w:bookmarkEnd w:id="0"/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42640C08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13.</w:t>
      </w:r>
      <w:r w:rsidR="00252938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3</w:t>
      </w:r>
    </w:p>
    <w:p w14:paraId="3A7B9F35" w14:textId="5CEF1D8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</w:t>
      </w:r>
    </w:p>
    <w:p w14:paraId="18B7FED9" w14:textId="120AD986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bookmarkStart w:id="1" w:name="OLE_LINK7"/>
      <w:r w:rsidR="00770C1B" w:rsidRPr="00770C1B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Mobility enhancements for mobile IAB-node and its served UE</w:t>
      </w:r>
    </w:p>
    <w:bookmarkEnd w:id="1"/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2" w:name="_Ref174151459"/>
      <w:bookmarkStart w:id="3" w:name="_Ref189809556"/>
    </w:p>
    <w:p w14:paraId="229606AE" w14:textId="77777777" w:rsidR="002F0CB9" w:rsidRDefault="002F0CB9" w:rsidP="002F0CB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A new WID for mobile IAB-node [1] has been approved to be discussed in Rel-</w:t>
      </w:r>
      <w:proofErr w:type="gramStart"/>
      <w:r>
        <w:rPr>
          <w:rFonts w:ascii="Times New Roman" w:eastAsia="宋体" w:hAnsi="Times New Roman" w:cs="Times New Roman"/>
          <w:kern w:val="0"/>
          <w:sz w:val="20"/>
          <w:szCs w:val="20"/>
        </w:rPr>
        <w:t>18, and</w:t>
      </w:r>
      <w:proofErr w:type="gram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following detail objectives are identified mainly focus on RAN3 and RAN2.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2F0CB9" w14:paraId="1B03B2D6" w14:textId="77777777" w:rsidTr="00F32368">
        <w:trPr>
          <w:trHeight w:val="1747"/>
        </w:trPr>
        <w:tc>
          <w:tcPr>
            <w:tcW w:w="9704" w:type="dxa"/>
          </w:tcPr>
          <w:p w14:paraId="71F28782" w14:textId="77777777" w:rsidR="00236927" w:rsidRDefault="00236927" w:rsidP="00236927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Define Procedures for migration/topology adaptation to enable IAB-node mobility, including inter-donor migration of the entire mobile IAB-node (full migration) [RAN3, RAN2]</w:t>
            </w:r>
          </w:p>
          <w:p w14:paraId="004578F2" w14:textId="77777777" w:rsidR="00236927" w:rsidRPr="00D06F6A" w:rsidRDefault="00236927" w:rsidP="00236927">
            <w:pPr>
              <w:pStyle w:val="maintext"/>
              <w:numPr>
                <w:ilvl w:val="1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D06F6A">
              <w:rPr>
                <w:rFonts w:eastAsia="Times New Roman" w:cs="Times New Roman"/>
                <w:sz w:val="18"/>
                <w:szCs w:val="18"/>
                <w:lang w:eastAsia="en-US"/>
              </w:rPr>
              <w:t>The mobile IAB-node can connect to a stationary (intermediate) IAB-node. Optimizations specific to the scenarios, where the mobile IAB-node connects to a stationary (intermediate) IAB-node, or where it directly connects to an IAB-donor-DU are de-prioritized.</w:t>
            </w:r>
          </w:p>
          <w:p w14:paraId="043D92FE" w14:textId="77777777" w:rsidR="00236927" w:rsidRPr="00D06F6A" w:rsidRDefault="00236927" w:rsidP="00236927">
            <w:pPr>
              <w:pStyle w:val="maintext"/>
              <w:numPr>
                <w:ilvl w:val="1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D06F6A">
              <w:rPr>
                <w:rFonts w:eastAsia="Times New Roman" w:cs="Times New Roman"/>
                <w:sz w:val="18"/>
                <w:szCs w:val="18"/>
                <w:lang w:eastAsia="en-US"/>
              </w:rPr>
              <w:t>The mobility of dual-connected IAB-nodes is down-prioritized.</w:t>
            </w:r>
          </w:p>
          <w:p w14:paraId="493CBACB" w14:textId="77777777" w:rsidR="00236927" w:rsidRPr="00314064" w:rsidRDefault="00236927" w:rsidP="00236927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 xml:space="preserve">Enhancements for mobility of an IAB-node together with </w:t>
            </w:r>
            <w:proofErr w:type="gramStart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its</w:t>
            </w:r>
            <w:proofErr w:type="gramEnd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 xml:space="preserve"> served UEs, including aspects related to group mobility. No optimizations for the targeting of surrounding UEs. [RAN3, RAN2]</w:t>
            </w:r>
          </w:p>
          <w:p w14:paraId="39D6DF84" w14:textId="77777777" w:rsidR="00236927" w:rsidRPr="00314064" w:rsidRDefault="00236927" w:rsidP="00236927">
            <w:pPr>
              <w:pStyle w:val="maintext"/>
              <w:spacing w:line="240" w:lineRule="auto"/>
              <w:ind w:left="720" w:firstLineChars="0" w:firstLine="0"/>
              <w:rPr>
                <w:rFonts w:eastAsia="Times New Roman" w:cs="Times New Roman"/>
                <w:i/>
                <w:iCs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i/>
                <w:iCs/>
                <w:sz w:val="18"/>
                <w:szCs w:val="18"/>
                <w:lang w:eastAsia="en-US"/>
              </w:rPr>
              <w:t>Note: Solutions should avoid touching upon topics where Rel-17 discussions already occurred and where the topic was excluded from Rel-17, except for enhancements that are specific to IAB-node mobility.</w:t>
            </w:r>
          </w:p>
          <w:p w14:paraId="1C058673" w14:textId="03498F84" w:rsidR="002F0CB9" w:rsidRPr="001139CF" w:rsidRDefault="00236927" w:rsidP="00236927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ascii="Calibri" w:eastAsia="Times New Roman" w:hAnsi="Calibri" w:cs="Times New Roman"/>
                <w:sz w:val="22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Mitigation of interference due to IAB-node mobility, including the avoidance of potential reference and control signal collisions (</w:t>
            </w:r>
            <w:proofErr w:type="gramStart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e.g.</w:t>
            </w:r>
            <w:proofErr w:type="gramEnd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 xml:space="preserve"> PCI, RACH). [RAN3, RAN2]</w:t>
            </w:r>
          </w:p>
        </w:tc>
      </w:tr>
    </w:tbl>
    <w:p w14:paraId="6D4B8E3A" w14:textId="38961604" w:rsidR="006E5566" w:rsidRDefault="002F0CB9" w:rsidP="002F0CB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contribution, </w:t>
      </w:r>
      <w:r w:rsidR="006E5566">
        <w:rPr>
          <w:rFonts w:ascii="Times New Roman" w:eastAsia="宋体" w:hAnsi="Times New Roman" w:cs="Times New Roman"/>
          <w:kern w:val="0"/>
          <w:sz w:val="20"/>
          <w:szCs w:val="20"/>
        </w:rPr>
        <w:t xml:space="preserve">enhancement for mobile IAB-node mobility is discussed, including </w:t>
      </w:r>
      <w:r w:rsidR="006E5566" w:rsidRPr="006E5566">
        <w:rPr>
          <w:rFonts w:ascii="Times New Roman" w:eastAsia="宋体" w:hAnsi="Times New Roman" w:cs="Times New Roman"/>
          <w:kern w:val="0"/>
          <w:sz w:val="20"/>
          <w:szCs w:val="20"/>
        </w:rPr>
        <w:t>aspects related to</w:t>
      </w:r>
      <w:r w:rsidR="000637B7">
        <w:rPr>
          <w:rFonts w:ascii="Times New Roman" w:eastAsia="宋体" w:hAnsi="Times New Roman" w:cs="Times New Roman"/>
          <w:kern w:val="0"/>
          <w:sz w:val="20"/>
          <w:szCs w:val="20"/>
        </w:rPr>
        <w:t xml:space="preserve"> mobile IAB-node indication,</w:t>
      </w:r>
      <w:r w:rsidR="0007335E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information sharing between two logical IAB-DUs</w:t>
      </w:r>
      <w:r w:rsidR="0004389E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</w:t>
      </w:r>
      <w:r w:rsidR="0007335E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configuration for IAB-D</w:t>
      </w:r>
      <w:r w:rsidR="001D279D">
        <w:rPr>
          <w:rFonts w:ascii="Times New Roman" w:eastAsia="宋体" w:hAnsi="Times New Roman" w:cs="Times New Roman"/>
          <w:kern w:val="0"/>
          <w:sz w:val="20"/>
          <w:szCs w:val="20"/>
        </w:rPr>
        <w:t>U’s parameters</w:t>
      </w:r>
      <w:r w:rsidR="006E5566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7F0D14A" w14:textId="2EABFABC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7318F123" w14:textId="0AF0135E" w:rsidR="00F26EF7" w:rsidRPr="006D398E" w:rsidRDefault="00F26EF7" w:rsidP="006D398E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bookmarkStart w:id="4" w:name="OLE_LINK8"/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Supporting mobile IAB-node indication</w:t>
      </w:r>
    </w:p>
    <w:p w14:paraId="75944E92" w14:textId="14B2077D" w:rsidR="00AC00B6" w:rsidRPr="006479A2" w:rsidRDefault="00850670" w:rsidP="006D398E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850670">
        <w:rPr>
          <w:rFonts w:ascii="Times New Roman" w:eastAsia="宋体" w:hAnsi="Times New Roman" w:cs="Times New Roman"/>
          <w:kern w:val="0"/>
          <w:sz w:val="20"/>
          <w:szCs w:val="20"/>
        </w:rPr>
        <w:t xml:space="preserve">Because legacy R16/R17 IAB-donors or parent IAB-nodes may not support the functionalities and characters that will be introduced by the R18 mobile IAB, it’s not a good choice for the R18 mobile IAB-node to </w:t>
      </w:r>
      <w:r w:rsidR="005C0D8A">
        <w:rPr>
          <w:rFonts w:ascii="Times New Roman" w:eastAsia="宋体" w:hAnsi="Times New Roman" w:cs="Times New Roman"/>
          <w:kern w:val="0"/>
          <w:sz w:val="20"/>
          <w:szCs w:val="20"/>
        </w:rPr>
        <w:t xml:space="preserve">always </w:t>
      </w:r>
      <w:r w:rsidRPr="00850670">
        <w:rPr>
          <w:rFonts w:ascii="Times New Roman" w:eastAsia="宋体" w:hAnsi="Times New Roman" w:cs="Times New Roman"/>
          <w:kern w:val="0"/>
          <w:sz w:val="20"/>
          <w:szCs w:val="20"/>
        </w:rPr>
        <w:t>camp on a legacy R16/R17 IAB-donor or parent IAB-node. Therefore, to assist the mobile IAB-node access to a suitable IAB-donor or parent IAB-</w:t>
      </w:r>
      <w:r w:rsidRPr="006479A2">
        <w:rPr>
          <w:rFonts w:ascii="Times New Roman" w:eastAsia="宋体" w:hAnsi="Times New Roman" w:cs="Times New Roman"/>
          <w:kern w:val="0"/>
          <w:sz w:val="20"/>
          <w:szCs w:val="20"/>
        </w:rPr>
        <w:t>node, a “mobile-IAB-Support” IE can be introduced in SIB1 just as the “</w:t>
      </w:r>
      <w:proofErr w:type="spellStart"/>
      <w:r w:rsidRPr="006479A2">
        <w:rPr>
          <w:rFonts w:ascii="Times New Roman" w:eastAsia="宋体" w:hAnsi="Times New Roman" w:cs="Times New Roman"/>
          <w:kern w:val="0"/>
          <w:sz w:val="20"/>
          <w:szCs w:val="20"/>
        </w:rPr>
        <w:t>iab</w:t>
      </w:r>
      <w:proofErr w:type="spellEnd"/>
      <w:r w:rsidRPr="006479A2">
        <w:rPr>
          <w:rFonts w:ascii="Times New Roman" w:eastAsia="宋体" w:hAnsi="Times New Roman" w:cs="Times New Roman"/>
          <w:kern w:val="0"/>
          <w:sz w:val="20"/>
          <w:szCs w:val="20"/>
        </w:rPr>
        <w:t>-Support” IE in R16.</w:t>
      </w:r>
      <w:r w:rsidRPr="006479A2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in RAN2 meeting, </w:t>
      </w:r>
      <w:r w:rsidR="00492D36" w:rsidRPr="006479A2">
        <w:rPr>
          <w:rFonts w:ascii="Times New Roman" w:eastAsia="宋体" w:hAnsi="Times New Roman" w:cs="Times New Roman"/>
          <w:kern w:val="0"/>
          <w:sz w:val="20"/>
          <w:szCs w:val="20"/>
        </w:rPr>
        <w:t>R</w:t>
      </w:r>
      <w:r w:rsidRPr="006479A2">
        <w:rPr>
          <w:rFonts w:ascii="Times New Roman" w:eastAsia="宋体" w:hAnsi="Times New Roman" w:cs="Times New Roman"/>
          <w:kern w:val="0"/>
          <w:sz w:val="20"/>
          <w:szCs w:val="20"/>
        </w:rPr>
        <w:t>AN</w:t>
      </w:r>
      <w:r w:rsidR="00492D36" w:rsidRPr="006479A2">
        <w:rPr>
          <w:rFonts w:ascii="Times New Roman" w:eastAsia="宋体" w:hAnsi="Times New Roman" w:cs="Times New Roman"/>
          <w:kern w:val="0"/>
          <w:sz w:val="20"/>
          <w:szCs w:val="20"/>
        </w:rPr>
        <w:t>2 assumes "supporting mobile-IAB" indication is provided by Rel-18 Mobile IAB capable parent cell.</w:t>
      </w:r>
      <w:r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Therefore, </w:t>
      </w:r>
      <w:r w:rsidR="00AF330A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IAB-donor-CU needs to configure whether each cell of </w:t>
      </w:r>
      <w:r w:rsidR="00C9525E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fixed </w:t>
      </w:r>
      <w:r w:rsidR="00AF330A" w:rsidRPr="006479A2">
        <w:rPr>
          <w:rFonts w:ascii="Times New Roman" w:eastAsia="宋体" w:hAnsi="Times New Roman" w:cs="Times New Roman"/>
          <w:kern w:val="0"/>
          <w:sz w:val="20"/>
          <w:szCs w:val="20"/>
        </w:rPr>
        <w:t>parent node IAB-DU or IAB-donor-DU is mobile-IAB-supported or not.</w:t>
      </w:r>
    </w:p>
    <w:p w14:paraId="212445D4" w14:textId="264409E5" w:rsidR="00AC00B6" w:rsidRPr="006479A2" w:rsidRDefault="00AF330A" w:rsidP="00AF330A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6479A2">
        <w:rPr>
          <w:rFonts w:ascii="Times New Roman" w:hAnsi="Times New Roman" w:cs="Times New Roman"/>
          <w:b/>
          <w:bCs/>
          <w:sz w:val="20"/>
          <w:szCs w:val="20"/>
        </w:rPr>
        <w:t xml:space="preserve">Proposal 1: IAB-donor-CU configures whether each cell of </w:t>
      </w:r>
      <w:r w:rsidR="00C9525E" w:rsidRPr="006479A2">
        <w:rPr>
          <w:rFonts w:ascii="Times New Roman" w:hAnsi="Times New Roman" w:cs="Times New Roman"/>
          <w:b/>
          <w:bCs/>
          <w:sz w:val="20"/>
          <w:szCs w:val="20"/>
        </w:rPr>
        <w:t xml:space="preserve">fixed </w:t>
      </w:r>
      <w:r w:rsidRPr="006479A2">
        <w:rPr>
          <w:rFonts w:ascii="Times New Roman" w:hAnsi="Times New Roman" w:cs="Times New Roman"/>
          <w:b/>
          <w:bCs/>
          <w:sz w:val="20"/>
          <w:szCs w:val="20"/>
        </w:rPr>
        <w:t>parent node IAB-DU or IAB-donor-DU is mobile-IAB-supported.</w:t>
      </w:r>
    </w:p>
    <w:p w14:paraId="2E7D1290" w14:textId="01B2DEF8" w:rsidR="00F26EF7" w:rsidRPr="006479A2" w:rsidRDefault="00F26EF7" w:rsidP="00F26EF7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6479A2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Fixed IAB-node handover</w:t>
      </w:r>
    </w:p>
    <w:p w14:paraId="605960B4" w14:textId="75B0C7F2" w:rsidR="00AC00B6" w:rsidRPr="006479A2" w:rsidRDefault="00E44D1E" w:rsidP="006D398E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For the mobile IAB-node, </w:t>
      </w:r>
      <w:r w:rsidRPr="006479A2"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 w:rsidRPr="006479A2">
        <w:rPr>
          <w:rFonts w:ascii="Times New Roman" w:eastAsia="宋体" w:hAnsi="Times New Roman" w:cs="Times New Roman"/>
          <w:kern w:val="0"/>
          <w:sz w:val="20"/>
          <w:szCs w:val="20"/>
        </w:rPr>
        <w:t>t should have no descendent IAB-nodes and only serve for UEs as defined in the WID.</w:t>
      </w:r>
      <w:r w:rsidRPr="006479A2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622D67" w:rsidRPr="006479A2"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 w:rsidR="00622D67" w:rsidRPr="006479A2">
        <w:rPr>
          <w:rFonts w:ascii="Times New Roman" w:eastAsia="宋体" w:hAnsi="Times New Roman" w:cs="Times New Roman"/>
          <w:kern w:val="0"/>
          <w:sz w:val="20"/>
          <w:szCs w:val="20"/>
        </w:rPr>
        <w:t>n RAN2 119 e-meeting, RAN2 has agreed that the method of not broadcasting “</w:t>
      </w:r>
      <w:proofErr w:type="spellStart"/>
      <w:r w:rsidR="00622D67" w:rsidRPr="006479A2">
        <w:rPr>
          <w:rFonts w:ascii="Times New Roman" w:eastAsia="宋体" w:hAnsi="Times New Roman" w:cs="Times New Roman"/>
          <w:kern w:val="0"/>
          <w:sz w:val="20"/>
          <w:szCs w:val="20"/>
        </w:rPr>
        <w:t>iab</w:t>
      </w:r>
      <w:proofErr w:type="spellEnd"/>
      <w:r w:rsidR="00622D67" w:rsidRPr="006479A2">
        <w:rPr>
          <w:rFonts w:ascii="Times New Roman" w:eastAsia="宋体" w:hAnsi="Times New Roman" w:cs="Times New Roman"/>
          <w:kern w:val="0"/>
          <w:sz w:val="20"/>
          <w:szCs w:val="20"/>
        </w:rPr>
        <w:t>-Support” indication is sufficient to prevent other IAB-node from accessing mobile IAB</w:t>
      </w:r>
      <w:r w:rsidR="00D54D25" w:rsidRPr="006479A2">
        <w:rPr>
          <w:rFonts w:ascii="Times New Roman" w:eastAsia="宋体" w:hAnsi="Times New Roman" w:cs="Times New Roman"/>
          <w:kern w:val="0"/>
          <w:sz w:val="20"/>
          <w:szCs w:val="20"/>
        </w:rPr>
        <w:t>-node</w:t>
      </w:r>
      <w:r w:rsidR="00622D67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CB7B60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However, the </w:t>
      </w:r>
      <w:r w:rsidR="00696348" w:rsidRPr="006479A2">
        <w:rPr>
          <w:rFonts w:ascii="Times New Roman" w:eastAsia="宋体" w:hAnsi="Times New Roman" w:cs="Times New Roman"/>
          <w:kern w:val="0"/>
          <w:sz w:val="20"/>
          <w:szCs w:val="20"/>
        </w:rPr>
        <w:t>“</w:t>
      </w:r>
      <w:proofErr w:type="spellStart"/>
      <w:r w:rsidR="00696348" w:rsidRPr="006479A2">
        <w:rPr>
          <w:rFonts w:ascii="Times New Roman" w:eastAsia="宋体" w:hAnsi="Times New Roman" w:cs="Times New Roman"/>
          <w:kern w:val="0"/>
          <w:sz w:val="20"/>
          <w:szCs w:val="20"/>
        </w:rPr>
        <w:t>iab</w:t>
      </w:r>
      <w:proofErr w:type="spellEnd"/>
      <w:r w:rsidR="00696348" w:rsidRPr="006479A2">
        <w:rPr>
          <w:rFonts w:ascii="Times New Roman" w:eastAsia="宋体" w:hAnsi="Times New Roman" w:cs="Times New Roman"/>
          <w:kern w:val="0"/>
          <w:sz w:val="20"/>
          <w:szCs w:val="20"/>
        </w:rPr>
        <w:t>-Support” indication is only applied for IAB-node integration</w:t>
      </w:r>
      <w:r w:rsidR="00B30954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</w:t>
      </w:r>
      <w:r w:rsidR="00696348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4B69DF" w:rsidRPr="006479A2">
        <w:rPr>
          <w:rFonts w:ascii="Times New Roman" w:eastAsia="宋体" w:hAnsi="Times New Roman" w:cs="Times New Roman"/>
          <w:kern w:val="0"/>
          <w:sz w:val="20"/>
          <w:szCs w:val="20"/>
        </w:rPr>
        <w:t>it</w:t>
      </w:r>
      <w:r w:rsidR="003266D9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 needs to avoid</w:t>
      </w:r>
      <w:r w:rsidR="004B69DF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that a source IAB-donor-CU </w:t>
      </w:r>
      <w:r w:rsidR="003266D9" w:rsidRPr="006479A2">
        <w:rPr>
          <w:rFonts w:ascii="Times New Roman" w:eastAsia="宋体" w:hAnsi="Times New Roman" w:cs="Times New Roman"/>
          <w:kern w:val="0"/>
          <w:sz w:val="20"/>
          <w:szCs w:val="20"/>
        </w:rPr>
        <w:t>to</w:t>
      </w:r>
      <w:r w:rsidR="004B69DF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configure measurement to an IAB-node </w:t>
      </w:r>
      <w:r w:rsidR="00B30954" w:rsidRPr="006479A2">
        <w:rPr>
          <w:rFonts w:ascii="Times New Roman" w:eastAsia="宋体" w:hAnsi="Times New Roman" w:cs="Times New Roman"/>
          <w:kern w:val="0"/>
          <w:sz w:val="20"/>
          <w:szCs w:val="20"/>
        </w:rPr>
        <w:t>with a potential cell belong</w:t>
      </w:r>
      <w:r w:rsidR="006362C0" w:rsidRPr="006479A2">
        <w:rPr>
          <w:rFonts w:ascii="Times New Roman" w:eastAsia="宋体" w:hAnsi="Times New Roman" w:cs="Times New Roman"/>
          <w:kern w:val="0"/>
          <w:sz w:val="20"/>
          <w:szCs w:val="20"/>
        </w:rPr>
        <w:t>ing</w:t>
      </w:r>
      <w:r w:rsidR="00B30954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a mobile IAB-node, and the source IAB-donor-CU </w:t>
      </w:r>
      <w:r w:rsidR="003266D9" w:rsidRPr="006479A2">
        <w:rPr>
          <w:rFonts w:ascii="Times New Roman" w:eastAsia="宋体" w:hAnsi="Times New Roman" w:cs="Times New Roman"/>
          <w:kern w:val="0"/>
          <w:sz w:val="20"/>
          <w:szCs w:val="20"/>
        </w:rPr>
        <w:t>to</w:t>
      </w:r>
      <w:r w:rsidR="00B30954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 trigger handover </w:t>
      </w:r>
      <w:r w:rsidR="008E6E84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of the IAB-node </w:t>
      </w:r>
      <w:r w:rsidR="00B30954" w:rsidRPr="006479A2">
        <w:rPr>
          <w:rFonts w:ascii="Times New Roman" w:eastAsia="宋体" w:hAnsi="Times New Roman" w:cs="Times New Roman"/>
          <w:kern w:val="0"/>
          <w:sz w:val="20"/>
          <w:szCs w:val="20"/>
        </w:rPr>
        <w:t>to the mobile IAB-node cell</w:t>
      </w:r>
      <w:r w:rsidR="008E6E84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E01663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Therefore, the source IAB-donor-CU of a </w:t>
      </w:r>
      <w:r w:rsidR="00851A97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fixed </w:t>
      </w:r>
      <w:r w:rsidR="00E01663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IAB-node should </w:t>
      </w:r>
      <w:r w:rsidR="00682CE1" w:rsidRPr="006479A2">
        <w:rPr>
          <w:rFonts w:ascii="Times New Roman" w:eastAsia="宋体" w:hAnsi="Times New Roman" w:cs="Times New Roman"/>
          <w:kern w:val="0"/>
          <w:sz w:val="20"/>
          <w:szCs w:val="20"/>
        </w:rPr>
        <w:t>be aware of</w:t>
      </w:r>
      <w:r w:rsidR="00E01663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 whether the potential target cell belong</w:t>
      </w:r>
      <w:r w:rsidR="00851A97" w:rsidRPr="006479A2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E01663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a mobile IAB-node.</w:t>
      </w:r>
    </w:p>
    <w:p w14:paraId="76C09D6A" w14:textId="67D373C3" w:rsidR="00E01663" w:rsidRDefault="00E01663" w:rsidP="00E01663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bookmarkStart w:id="5" w:name="OLE_LINK14"/>
      <w:r w:rsidRPr="006479A2">
        <w:rPr>
          <w:rFonts w:ascii="Times New Roman" w:hAnsi="Times New Roman" w:cs="Times New Roman"/>
          <w:b/>
          <w:bCs/>
          <w:sz w:val="20"/>
          <w:szCs w:val="20"/>
        </w:rPr>
        <w:t>Proposal 2: Source IAB-donor-CU of a</w:t>
      </w:r>
      <w:r w:rsidR="00851A97" w:rsidRPr="006479A2">
        <w:rPr>
          <w:rFonts w:ascii="Times New Roman" w:hAnsi="Times New Roman" w:cs="Times New Roman"/>
          <w:b/>
          <w:bCs/>
          <w:sz w:val="20"/>
          <w:szCs w:val="20"/>
        </w:rPr>
        <w:t xml:space="preserve"> fixed</w:t>
      </w:r>
      <w:r w:rsidRPr="006479A2">
        <w:rPr>
          <w:rFonts w:ascii="Times New Roman" w:hAnsi="Times New Roman" w:cs="Times New Roman"/>
          <w:b/>
          <w:bCs/>
          <w:sz w:val="20"/>
          <w:szCs w:val="20"/>
        </w:rPr>
        <w:t xml:space="preserve"> IAB-node should </w:t>
      </w:r>
      <w:r w:rsidR="00682CE1" w:rsidRPr="006479A2">
        <w:rPr>
          <w:rFonts w:ascii="Times New Roman" w:hAnsi="Times New Roman" w:cs="Times New Roman"/>
          <w:b/>
          <w:bCs/>
          <w:sz w:val="20"/>
          <w:szCs w:val="20"/>
        </w:rPr>
        <w:t>be aware of</w:t>
      </w:r>
      <w:r w:rsidRPr="006479A2">
        <w:rPr>
          <w:rFonts w:ascii="Times New Roman" w:hAnsi="Times New Roman" w:cs="Times New Roman"/>
          <w:b/>
          <w:bCs/>
          <w:sz w:val="20"/>
          <w:szCs w:val="20"/>
        </w:rPr>
        <w:t xml:space="preserve"> whether potential </w:t>
      </w:r>
      <w:r w:rsidRPr="006479A2">
        <w:rPr>
          <w:rFonts w:ascii="Times New Roman" w:hAnsi="Times New Roman" w:cs="Times New Roman" w:hint="eastAsia"/>
          <w:b/>
          <w:bCs/>
          <w:sz w:val="20"/>
          <w:szCs w:val="20"/>
        </w:rPr>
        <w:t>target cell belong</w:t>
      </w:r>
      <w:r w:rsidR="00851A97" w:rsidRPr="006479A2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Pr="006479A2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to a mobile IAB-node</w:t>
      </w:r>
      <w:r w:rsidRPr="006479A2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22A97EDB" w14:textId="77299EFB" w:rsidR="00B26673" w:rsidRPr="006479A2" w:rsidRDefault="00B26673" w:rsidP="00B26673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lastRenderedPageBreak/>
        <w:t>M</w:t>
      </w:r>
      <w:r w:rsidRPr="00B26673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obile IAB-node indication</w:t>
      </w: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 </w:t>
      </w:r>
      <w:r w:rsidR="009B5A6D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to AMF</w:t>
      </w:r>
    </w:p>
    <w:p w14:paraId="599530AD" w14:textId="4AD79092" w:rsidR="00470972" w:rsidRDefault="009B5A6D" w:rsidP="00E01663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s defined in SA2</w:t>
      </w:r>
      <w:r w:rsidR="00470972">
        <w:rPr>
          <w:rFonts w:ascii="Times New Roman" w:hAnsi="Times New Roman" w:cs="Times New Roman"/>
          <w:sz w:val="20"/>
          <w:szCs w:val="20"/>
        </w:rPr>
        <w:t xml:space="preserve"> and captured in the latest running TS 23. 501 as follow, </w:t>
      </w:r>
      <w:r w:rsidR="00966288">
        <w:rPr>
          <w:rFonts w:ascii="Times New Roman" w:hAnsi="Times New Roman" w:cs="Times New Roman"/>
          <w:sz w:val="20"/>
          <w:szCs w:val="20"/>
        </w:rPr>
        <w:t xml:space="preserve">mobile IAB-node needs to include </w:t>
      </w:r>
      <w:r w:rsidR="00420583">
        <w:rPr>
          <w:rFonts w:ascii="Times New Roman" w:hAnsi="Times New Roman" w:cs="Times New Roman"/>
          <w:sz w:val="20"/>
          <w:szCs w:val="20"/>
        </w:rPr>
        <w:t>a</w:t>
      </w:r>
      <w:r w:rsidR="00966288">
        <w:rPr>
          <w:rFonts w:ascii="Times New Roman" w:hAnsi="Times New Roman" w:cs="Times New Roman"/>
          <w:sz w:val="20"/>
          <w:szCs w:val="20"/>
        </w:rPr>
        <w:t xml:space="preserve"> mobile IAB-indication in MSG5 </w:t>
      </w:r>
      <w:r w:rsidR="00D1011E">
        <w:rPr>
          <w:rFonts w:ascii="Times New Roman" w:hAnsi="Times New Roman" w:cs="Times New Roman"/>
          <w:sz w:val="20"/>
          <w:szCs w:val="20"/>
        </w:rPr>
        <w:t>to let IAB-donor-CU select an AMF which supports mobile IAB,</w:t>
      </w:r>
      <w:r w:rsidR="00D1011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966288">
        <w:rPr>
          <w:rFonts w:ascii="Times New Roman" w:hAnsi="Times New Roman" w:cs="Times New Roman"/>
          <w:sz w:val="20"/>
          <w:szCs w:val="20"/>
        </w:rPr>
        <w:t xml:space="preserve">and the IAB-donor-CU needs to includes </w:t>
      </w:r>
      <w:r w:rsidR="00420583">
        <w:rPr>
          <w:rFonts w:ascii="Times New Roman" w:hAnsi="Times New Roman" w:cs="Times New Roman"/>
          <w:sz w:val="20"/>
          <w:szCs w:val="20"/>
        </w:rPr>
        <w:t>a</w:t>
      </w:r>
      <w:r w:rsidR="00966288">
        <w:rPr>
          <w:rFonts w:ascii="Times New Roman" w:hAnsi="Times New Roman" w:cs="Times New Roman"/>
          <w:sz w:val="20"/>
          <w:szCs w:val="20"/>
        </w:rPr>
        <w:t xml:space="preserve"> mobile IAB-indication in the NG</w:t>
      </w:r>
      <w:r w:rsidR="0007544B">
        <w:rPr>
          <w:rFonts w:ascii="Times New Roman" w:hAnsi="Times New Roman" w:cs="Times New Roman"/>
          <w:sz w:val="20"/>
          <w:szCs w:val="20"/>
        </w:rPr>
        <w:t>AP</w:t>
      </w:r>
      <w:r w:rsidR="00966288">
        <w:rPr>
          <w:rFonts w:ascii="Times New Roman" w:hAnsi="Times New Roman" w:cs="Times New Roman"/>
          <w:sz w:val="20"/>
          <w:szCs w:val="20"/>
        </w:rPr>
        <w:t xml:space="preserve"> </w:t>
      </w:r>
      <w:r w:rsidR="00966288" w:rsidRPr="00470972">
        <w:rPr>
          <w:rFonts w:ascii="Times New Roman" w:hAnsi="Times New Roman" w:cs="Times New Roman"/>
          <w:sz w:val="20"/>
          <w:szCs w:val="20"/>
        </w:rPr>
        <w:t>INITIAL UE MESSAGE</w:t>
      </w:r>
      <w:r w:rsidR="00966288">
        <w:rPr>
          <w:rFonts w:ascii="Times New Roman" w:hAnsi="Times New Roman" w:cs="Times New Roman"/>
          <w:sz w:val="20"/>
          <w:szCs w:val="20"/>
        </w:rPr>
        <w:t xml:space="preserve"> to </w:t>
      </w:r>
      <w:r w:rsidR="0007544B">
        <w:rPr>
          <w:rFonts w:ascii="Times New Roman" w:hAnsi="Times New Roman" w:cs="Times New Roman"/>
          <w:sz w:val="20"/>
          <w:szCs w:val="20"/>
        </w:rPr>
        <w:t>AMF</w:t>
      </w:r>
      <w:r w:rsidR="009F1156">
        <w:rPr>
          <w:rFonts w:ascii="Times New Roman" w:hAnsi="Times New Roman" w:cs="Times New Roman"/>
          <w:sz w:val="20"/>
          <w:szCs w:val="20"/>
        </w:rPr>
        <w:t>.</w:t>
      </w:r>
      <w:r w:rsidR="005770FE">
        <w:rPr>
          <w:rFonts w:ascii="Times New Roman" w:hAnsi="Times New Roman" w:cs="Times New Roman"/>
          <w:sz w:val="20"/>
          <w:szCs w:val="20"/>
        </w:rPr>
        <w:t xml:space="preserve"> In addition, as defined in R16 for fixed IAB-node, the similar procedure has been defined in MSG5 and NGAP </w:t>
      </w:r>
      <w:r w:rsidR="005770FE" w:rsidRPr="00470972">
        <w:rPr>
          <w:rFonts w:ascii="Times New Roman" w:hAnsi="Times New Roman" w:cs="Times New Roman"/>
          <w:sz w:val="20"/>
          <w:szCs w:val="20"/>
        </w:rPr>
        <w:t>INITIAL UE MESSAGE</w:t>
      </w:r>
      <w:r w:rsidR="005770FE">
        <w:rPr>
          <w:rFonts w:ascii="Times New Roman" w:hAnsi="Times New Roman" w:cs="Times New Roman"/>
          <w:sz w:val="20"/>
          <w:szCs w:val="20"/>
        </w:rPr>
        <w:t xml:space="preserve">. </w:t>
      </w:r>
      <w:r w:rsidR="00420583">
        <w:rPr>
          <w:rFonts w:ascii="Times New Roman" w:hAnsi="Times New Roman" w:cs="Times New Roman"/>
          <w:sz w:val="20"/>
          <w:szCs w:val="20"/>
        </w:rPr>
        <w:t>We’d better to design similar procedure for mobile IAB in R18. Otherwise, an LS is needed to inform SA2 to update the procedure defined in TS 23.501.</w:t>
      </w:r>
    </w:p>
    <w:p w14:paraId="0ADF4CA7" w14:textId="0AD4618A" w:rsidR="00420583" w:rsidRPr="00420583" w:rsidRDefault="00420583" w:rsidP="00E01663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bookmarkStart w:id="6" w:name="OLE_LINK6"/>
      <w:r w:rsidRPr="00420583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420583">
        <w:rPr>
          <w:rFonts w:ascii="Times New Roman" w:hAnsi="Times New Roman" w:cs="Times New Roman"/>
          <w:b/>
          <w:bCs/>
          <w:sz w:val="20"/>
          <w:szCs w:val="20"/>
        </w:rPr>
        <w:t xml:space="preserve">roposal 3: </w:t>
      </w:r>
      <w:r>
        <w:rPr>
          <w:rFonts w:ascii="Times New Roman" w:hAnsi="Times New Roman" w:cs="Times New Roman"/>
          <w:b/>
          <w:bCs/>
          <w:sz w:val="20"/>
          <w:szCs w:val="20"/>
        </w:rPr>
        <w:t>M</w:t>
      </w:r>
      <w:r w:rsidRPr="00420583">
        <w:rPr>
          <w:rFonts w:ascii="Times New Roman" w:hAnsi="Times New Roman" w:cs="Times New Roman"/>
          <w:b/>
          <w:bCs/>
          <w:sz w:val="20"/>
          <w:szCs w:val="20"/>
        </w:rPr>
        <w:t>obile IAB-node includes a mobile IAB-indication in MSG5, and IAB-donor-CU include</w:t>
      </w:r>
      <w:r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Pr="00420583">
        <w:rPr>
          <w:rFonts w:ascii="Times New Roman" w:hAnsi="Times New Roman" w:cs="Times New Roman"/>
          <w:b/>
          <w:bCs/>
          <w:sz w:val="20"/>
          <w:szCs w:val="20"/>
        </w:rPr>
        <w:t xml:space="preserve"> a mobile IAB-indication in NGAP INITIAL UE MESSAGE to AMF.</w:t>
      </w:r>
    </w:p>
    <w:tbl>
      <w:tblPr>
        <w:tblW w:w="9693" w:type="dxa"/>
        <w:tblInd w:w="-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93"/>
      </w:tblGrid>
      <w:tr w:rsidR="00470972" w14:paraId="66403A7D" w14:textId="77777777" w:rsidTr="00D1011E">
        <w:trPr>
          <w:trHeight w:val="940"/>
        </w:trPr>
        <w:tc>
          <w:tcPr>
            <w:tcW w:w="9693" w:type="dxa"/>
          </w:tcPr>
          <w:bookmarkEnd w:id="6"/>
          <w:p w14:paraId="01138E21" w14:textId="7189B963" w:rsidR="00470972" w:rsidRDefault="00470972" w:rsidP="00470972">
            <w:pPr>
              <w:pStyle w:val="af3"/>
              <w:spacing w:before="0" w:beforeAutospacing="0" w:after="120" w:afterAutospacing="0"/>
              <w:ind w:left="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0972">
              <w:rPr>
                <w:rFonts w:ascii="Times New Roman" w:hAnsi="Times New Roman" w:cs="Times New Roman"/>
                <w:sz w:val="20"/>
                <w:szCs w:val="20"/>
              </w:rPr>
              <w:t>For a MBSR node, it provides a mobile IAB-indication to the IAB-donor-CU when the RRC connection is established as defined in TS 38.331 [28]. When the mobile IAB-indication is received, the IAB-donor-CU selects an AMF that supports IAB-node with mobility and includes the mobile IAB-indication in the N2 INITIAL UE MESSAGE as defined in TS 38.413 [34] so that the AMF can perform mobile IAB authorization as described in clause 5.35A.4.</w:t>
            </w:r>
          </w:p>
        </w:tc>
      </w:tr>
    </w:tbl>
    <w:p w14:paraId="6C238C51" w14:textId="495FE83B" w:rsidR="002D68AD" w:rsidRPr="006E5FD8" w:rsidRDefault="002D68AD" w:rsidP="002D68AD">
      <w:pPr>
        <w:widowControl/>
        <w:overflowPunct w:val="0"/>
        <w:autoSpaceDE w:val="0"/>
        <w:autoSpaceDN w:val="0"/>
        <w:adjustRightInd w:val="0"/>
        <w:spacing w:beforeLines="100" w:before="24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6E5FD8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BH transport in case two logical IAB-DUs</w:t>
      </w:r>
    </w:p>
    <w:tbl>
      <w:tblPr>
        <w:tblW w:w="0" w:type="auto"/>
        <w:tblInd w:w="-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0"/>
      </w:tblGrid>
      <w:tr w:rsidR="00D0612D" w14:paraId="0C733244" w14:textId="77777777" w:rsidTr="003A65A3">
        <w:trPr>
          <w:trHeight w:val="2031"/>
        </w:trPr>
        <w:tc>
          <w:tcPr>
            <w:tcW w:w="9640" w:type="dxa"/>
          </w:tcPr>
          <w:p w14:paraId="2C474819" w14:textId="6E174E24" w:rsidR="00C21428" w:rsidRPr="00C21428" w:rsidRDefault="00C21428" w:rsidP="00C21428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1428">
              <w:rPr>
                <w:rFonts w:ascii="Times New Roman" w:hAnsi="Times New Roman" w:cs="Times New Roman" w:hint="eastAsia"/>
                <w:sz w:val="20"/>
                <w:szCs w:val="20"/>
              </w:rPr>
              <w:t>R</w:t>
            </w:r>
            <w:r w:rsidRPr="00C21428">
              <w:rPr>
                <w:rFonts w:ascii="Times New Roman" w:hAnsi="Times New Roman" w:cs="Times New Roman"/>
                <w:sz w:val="20"/>
                <w:szCs w:val="20"/>
              </w:rPr>
              <w:t>AN2 121:</w:t>
            </w:r>
          </w:p>
          <w:p w14:paraId="26817910" w14:textId="7484F8BC" w:rsidR="00D0612D" w:rsidRPr="00A01EAE" w:rsidRDefault="00D0612D" w:rsidP="00D0612D">
            <w:pPr>
              <w:pStyle w:val="Agreement"/>
              <w:tabs>
                <w:tab w:val="num" w:pos="1619"/>
              </w:tabs>
              <w:spacing w:before="120"/>
              <w:ind w:left="357" w:hanging="357"/>
            </w:pPr>
            <w:r w:rsidRPr="005D37D2">
              <w:rPr>
                <w:rFonts w:hint="eastAsia"/>
              </w:rPr>
              <w:t xml:space="preserve">For the upstream data handling at the BAP of mobile IAB MT, </w:t>
            </w:r>
            <w:r>
              <w:t xml:space="preserve">RAN2 assume that </w:t>
            </w:r>
            <w:r w:rsidRPr="005D37D2">
              <w:rPr>
                <w:rFonts w:hint="eastAsia"/>
              </w:rPr>
              <w:t>the F1AP BAP configuration for each logical DU should be configured/controlled by the DU</w:t>
            </w:r>
            <w:r w:rsidRPr="005D37D2">
              <w:t>’</w:t>
            </w:r>
            <w:r w:rsidRPr="005D37D2">
              <w:rPr>
                <w:rFonts w:hint="eastAsia"/>
              </w:rPr>
              <w:t>s respective donor-CU via the corresponding F1AP connection</w:t>
            </w:r>
            <w:r>
              <w:t xml:space="preserve"> (To be confirmed by RAN3)</w:t>
            </w:r>
            <w:r w:rsidRPr="005D37D2">
              <w:rPr>
                <w:rFonts w:hint="eastAsia"/>
              </w:rPr>
              <w:t>.</w:t>
            </w:r>
          </w:p>
          <w:p w14:paraId="7A4D8EFB" w14:textId="4D9A45AB" w:rsidR="00D0612D" w:rsidRPr="00D0612D" w:rsidRDefault="00D0612D" w:rsidP="00D0612D">
            <w:pPr>
              <w:pStyle w:val="Agreement"/>
              <w:tabs>
                <w:tab w:val="num" w:pos="1619"/>
              </w:tabs>
              <w:spacing w:before="120"/>
              <w:ind w:left="357" w:hanging="357"/>
            </w:pPr>
            <w:r w:rsidRPr="00825DE7">
              <w:t>For the downstream data handling arriving at the mobile IAB node, RAN2 assume upper layers (</w:t>
            </w:r>
            <w:proofErr w:type="gramStart"/>
            <w:r w:rsidRPr="00825DE7">
              <w:t>e.g.</w:t>
            </w:r>
            <w:proofErr w:type="gramEnd"/>
            <w:r w:rsidRPr="00825DE7">
              <w:t xml:space="preserve"> IP layer) can differentiate the data to different logical DUs based on </w:t>
            </w:r>
            <w:r>
              <w:t xml:space="preserve">e.g. </w:t>
            </w:r>
            <w:r w:rsidRPr="00825DE7">
              <w:t>the IP address</w:t>
            </w:r>
            <w:r>
              <w:t xml:space="preserve">, i.e. no need to introduce </w:t>
            </w:r>
            <w:r w:rsidRPr="00452D9F">
              <w:t>logical-DU-specific</w:t>
            </w:r>
            <w:r>
              <w:t xml:space="preserve"> BAP address.</w:t>
            </w:r>
            <w:r w:rsidRPr="00974325">
              <w:t xml:space="preserve"> </w:t>
            </w:r>
            <w:r>
              <w:t>(To be confirmed by RAN3)</w:t>
            </w:r>
            <w:r w:rsidRPr="00825DE7">
              <w:t>.</w:t>
            </w:r>
          </w:p>
        </w:tc>
      </w:tr>
    </w:tbl>
    <w:p w14:paraId="320F026B" w14:textId="77777777" w:rsidR="003A65A3" w:rsidRPr="00A55083" w:rsidRDefault="003A65A3" w:rsidP="003A65A3">
      <w:pPr>
        <w:widowControl/>
        <w:overflowPunct w:val="0"/>
        <w:autoSpaceDE w:val="0"/>
        <w:autoSpaceDN w:val="0"/>
        <w:adjustRightInd w:val="0"/>
        <w:spacing w:beforeLines="150" w:before="360"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55083">
        <w:object w:dxaOrig="6361" w:dyaOrig="4661" w14:anchorId="434B12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4.5pt;height:157.5pt" o:ole="">
            <v:imagedata r:id="rId7" o:title=""/>
          </v:shape>
          <o:OLEObject Type="Embed" ProgID="Visio.Drawing.15" ShapeID="_x0000_i1025" DrawAspect="Content" ObjectID="_1742364400" r:id="rId8"/>
        </w:object>
      </w:r>
    </w:p>
    <w:p w14:paraId="5AA9E88B" w14:textId="000DE078" w:rsidR="003A65A3" w:rsidRPr="003A65A3" w:rsidRDefault="003A65A3" w:rsidP="003A65A3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bookmarkStart w:id="7" w:name="OLE_LINK10"/>
      <w:r w:rsidRPr="00A55083"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 w:rsidRPr="00A55083">
        <w:rPr>
          <w:rFonts w:ascii="Times New Roman" w:eastAsia="宋体" w:hAnsi="Times New Roman" w:cs="Times New Roman"/>
          <w:kern w:val="0"/>
          <w:sz w:val="20"/>
          <w:szCs w:val="20"/>
        </w:rPr>
        <w:t xml:space="preserve">igure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1</w:t>
      </w:r>
      <w:r w:rsidRPr="00A55083">
        <w:rPr>
          <w:rFonts w:ascii="Times New Roman" w:eastAsia="宋体" w:hAnsi="Times New Roman" w:cs="Times New Roman"/>
          <w:kern w:val="0"/>
          <w:sz w:val="20"/>
          <w:szCs w:val="20"/>
        </w:rPr>
        <w:t xml:space="preserve">: An example of </w:t>
      </w:r>
      <w:bookmarkEnd w:id="7"/>
      <w:r w:rsidRPr="003A65A3">
        <w:rPr>
          <w:rFonts w:ascii="Times New Roman" w:eastAsia="宋体" w:hAnsi="Times New Roman" w:cs="Times New Roman"/>
          <w:kern w:val="0"/>
          <w:sz w:val="20"/>
          <w:szCs w:val="20"/>
        </w:rPr>
        <w:t>IAB-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DU migration</w:t>
      </w:r>
      <w:r w:rsidRPr="003A65A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E62BC7">
        <w:rPr>
          <w:rFonts w:ascii="Times New Roman" w:eastAsia="宋体" w:hAnsi="Times New Roman" w:cs="Times New Roman"/>
          <w:kern w:val="0"/>
          <w:sz w:val="20"/>
          <w:szCs w:val="20"/>
        </w:rPr>
        <w:t>with</w:t>
      </w:r>
      <w:r w:rsidRPr="003A65A3">
        <w:rPr>
          <w:rFonts w:ascii="Times New Roman" w:eastAsia="宋体" w:hAnsi="Times New Roman" w:cs="Times New Roman"/>
          <w:kern w:val="0"/>
          <w:sz w:val="20"/>
          <w:szCs w:val="20"/>
        </w:rPr>
        <w:t xml:space="preserve"> its served UE</w:t>
      </w:r>
    </w:p>
    <w:p w14:paraId="3CC7AC78" w14:textId="0CEB2973" w:rsidR="00C21428" w:rsidRPr="006E5FD8" w:rsidRDefault="00C21428" w:rsidP="00C21428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6E5FD8"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 w:rsidRPr="006E5FD8">
        <w:rPr>
          <w:rFonts w:ascii="Times New Roman" w:eastAsia="宋体" w:hAnsi="Times New Roman" w:cs="Times New Roman"/>
          <w:kern w:val="0"/>
          <w:sz w:val="20"/>
          <w:szCs w:val="20"/>
        </w:rPr>
        <w:t>or DL transmission of mobile IAB-node, upon receiving a DL BAP Data PDU from IAB-donor</w:t>
      </w:r>
      <w:r w:rsidR="0010237A">
        <w:rPr>
          <w:rFonts w:ascii="Times New Roman" w:eastAsia="宋体" w:hAnsi="Times New Roman" w:cs="Times New Roman"/>
          <w:kern w:val="0"/>
          <w:sz w:val="20"/>
          <w:szCs w:val="20"/>
        </w:rPr>
        <w:t xml:space="preserve"> A</w:t>
      </w:r>
      <w:r w:rsidRPr="006E5FD8">
        <w:rPr>
          <w:rFonts w:ascii="Times New Roman" w:eastAsia="宋体" w:hAnsi="Times New Roman" w:cs="Times New Roman"/>
          <w:kern w:val="0"/>
          <w:sz w:val="20"/>
          <w:szCs w:val="20"/>
        </w:rPr>
        <w:t xml:space="preserve"> or IAB-donor</w:t>
      </w:r>
      <w:r w:rsidR="0010237A">
        <w:rPr>
          <w:rFonts w:ascii="Times New Roman" w:eastAsia="宋体" w:hAnsi="Times New Roman" w:cs="Times New Roman"/>
          <w:kern w:val="0"/>
          <w:sz w:val="20"/>
          <w:szCs w:val="20"/>
        </w:rPr>
        <w:t xml:space="preserve"> B</w:t>
      </w:r>
      <w:r w:rsidRPr="006E5FD8">
        <w:rPr>
          <w:rFonts w:ascii="Times New Roman" w:eastAsia="宋体" w:hAnsi="Times New Roman" w:cs="Times New Roman"/>
          <w:kern w:val="0"/>
          <w:sz w:val="20"/>
          <w:szCs w:val="20"/>
        </w:rPr>
        <w:t xml:space="preserve"> by mobile IAB-MT, BAP entity of mobile IAB-MT shall remove the BAP header of this BAP Data PDU since the mobile IAB-node has no descendant IAB-nodes and it’s the destination node on the BH link, and the IAB-MT delivers the BAP SDU to upper layer. For the IAB-MT, it needs differentiate the DL traffic from IAB-donor</w:t>
      </w:r>
      <w:r w:rsidR="0010237A">
        <w:rPr>
          <w:rFonts w:ascii="Times New Roman" w:eastAsia="宋体" w:hAnsi="Times New Roman" w:cs="Times New Roman"/>
          <w:kern w:val="0"/>
          <w:sz w:val="20"/>
          <w:szCs w:val="20"/>
        </w:rPr>
        <w:t xml:space="preserve"> A</w:t>
      </w:r>
      <w:r w:rsidRPr="006E5FD8">
        <w:rPr>
          <w:rFonts w:ascii="Times New Roman" w:eastAsia="宋体" w:hAnsi="Times New Roman" w:cs="Times New Roman"/>
          <w:kern w:val="0"/>
          <w:sz w:val="20"/>
          <w:szCs w:val="20"/>
        </w:rPr>
        <w:t xml:space="preserve"> or IAB-donor</w:t>
      </w:r>
      <w:r w:rsidR="0010237A">
        <w:rPr>
          <w:rFonts w:ascii="Times New Roman" w:eastAsia="宋体" w:hAnsi="Times New Roman" w:cs="Times New Roman"/>
          <w:kern w:val="0"/>
          <w:sz w:val="20"/>
          <w:szCs w:val="20"/>
        </w:rPr>
        <w:t xml:space="preserve"> B</w:t>
      </w:r>
      <w:r w:rsidRPr="006E5FD8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then it can deliver the DL traffic to the right logical IAB-DU. </w:t>
      </w:r>
      <w:r w:rsidR="00466979">
        <w:rPr>
          <w:rFonts w:ascii="Times New Roman" w:eastAsia="宋体" w:hAnsi="Times New Roman" w:cs="Times New Roman"/>
          <w:kern w:val="0"/>
          <w:sz w:val="20"/>
          <w:szCs w:val="20"/>
        </w:rPr>
        <w:t>As agreed in RAN2, the DL traffic can be differentiated via the IP address</w:t>
      </w:r>
      <w:r w:rsidR="000664F5">
        <w:rPr>
          <w:rFonts w:ascii="Times New Roman" w:eastAsia="宋体" w:hAnsi="Times New Roman" w:cs="Times New Roman"/>
          <w:kern w:val="0"/>
          <w:sz w:val="20"/>
          <w:szCs w:val="20"/>
        </w:rPr>
        <w:t>. In addition,</w:t>
      </w:r>
      <w:r w:rsidR="00466979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Pr="006E5FD8">
        <w:rPr>
          <w:rFonts w:ascii="Times New Roman" w:eastAsia="宋体" w:hAnsi="Times New Roman" w:cs="Times New Roman"/>
          <w:kern w:val="0"/>
          <w:sz w:val="20"/>
          <w:szCs w:val="20"/>
        </w:rPr>
        <w:t>source IP address of the DL traffic is different between IAB-donor</w:t>
      </w:r>
      <w:r w:rsidR="0010237A">
        <w:rPr>
          <w:rFonts w:ascii="Times New Roman" w:eastAsia="宋体" w:hAnsi="Times New Roman" w:cs="Times New Roman"/>
          <w:kern w:val="0"/>
          <w:sz w:val="20"/>
          <w:szCs w:val="20"/>
        </w:rPr>
        <w:t xml:space="preserve"> A</w:t>
      </w:r>
      <w:r w:rsidRPr="006E5FD8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IAB-donor</w:t>
      </w:r>
      <w:r w:rsidR="0010237A">
        <w:rPr>
          <w:rFonts w:ascii="Times New Roman" w:eastAsia="宋体" w:hAnsi="Times New Roman" w:cs="Times New Roman"/>
          <w:kern w:val="0"/>
          <w:sz w:val="20"/>
          <w:szCs w:val="20"/>
        </w:rPr>
        <w:t xml:space="preserve"> B</w:t>
      </w:r>
      <w:r w:rsidRPr="006E5FD8">
        <w:rPr>
          <w:rFonts w:ascii="Times New Roman" w:eastAsia="宋体" w:hAnsi="Times New Roman" w:cs="Times New Roman"/>
          <w:kern w:val="0"/>
          <w:sz w:val="20"/>
          <w:szCs w:val="20"/>
        </w:rPr>
        <w:t>, and separate IP addresses may be configured for two IAB-DUs for F1 traffic transport</w:t>
      </w:r>
      <w:r w:rsidR="000664F5">
        <w:rPr>
          <w:rFonts w:ascii="Times New Roman" w:eastAsia="宋体" w:hAnsi="Times New Roman" w:cs="Times New Roman"/>
          <w:kern w:val="0"/>
          <w:sz w:val="20"/>
          <w:szCs w:val="20"/>
        </w:rPr>
        <w:t xml:space="preserve">, Then the </w:t>
      </w:r>
      <w:r w:rsidR="000664F5" w:rsidRPr="000664F5">
        <w:rPr>
          <w:rFonts w:ascii="Times New Roman" w:eastAsia="宋体" w:hAnsi="Times New Roman" w:cs="Times New Roman"/>
          <w:kern w:val="0"/>
          <w:sz w:val="20"/>
          <w:szCs w:val="20"/>
        </w:rPr>
        <w:t xml:space="preserve">DL traffic differentiation for mobile IAB-node </w:t>
      </w:r>
      <w:r w:rsidR="000664F5">
        <w:rPr>
          <w:rFonts w:ascii="Times New Roman" w:eastAsia="宋体" w:hAnsi="Times New Roman" w:cs="Times New Roman"/>
          <w:kern w:val="0"/>
          <w:sz w:val="20"/>
          <w:szCs w:val="20"/>
        </w:rPr>
        <w:t>can be</w:t>
      </w:r>
      <w:r w:rsidR="000664F5" w:rsidRPr="000664F5">
        <w:rPr>
          <w:rFonts w:ascii="Times New Roman" w:eastAsia="宋体" w:hAnsi="Times New Roman" w:cs="Times New Roman"/>
          <w:kern w:val="0"/>
          <w:sz w:val="20"/>
          <w:szCs w:val="20"/>
        </w:rPr>
        <w:t xml:space="preserve"> based on the IP address, e.g., source IP address or target IP address of the DL traffic</w:t>
      </w:r>
      <w:r w:rsidR="000664F5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53305853" w14:textId="3D24E328" w:rsidR="00C21428" w:rsidRPr="006E5FD8" w:rsidRDefault="00C21428" w:rsidP="00C21428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E5FD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 w:rsidR="0016033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4</w:t>
      </w:r>
      <w:r w:rsidRPr="006E5FD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bookmarkStart w:id="8" w:name="OLE_LINK4"/>
      <w:r w:rsidRPr="006E5FD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DL traffic differentiation for mobile IAB-node is based on the IP address, e.g., source IP address or target IP address of the DL traffic</w:t>
      </w:r>
      <w:bookmarkEnd w:id="8"/>
      <w:r w:rsidRPr="006E5FD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00B9551A" w14:textId="77777777" w:rsidR="00C21428" w:rsidRPr="006E5FD8" w:rsidRDefault="00C21428" w:rsidP="00C21428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6E5FD8">
        <w:rPr>
          <w:rFonts w:ascii="Times New Roman" w:eastAsia="宋体" w:hAnsi="Times New Roman" w:cs="Times New Roman"/>
          <w:kern w:val="0"/>
          <w:sz w:val="20"/>
          <w:szCs w:val="20"/>
        </w:rPr>
        <w:t>For UL transmission, both the source IAB-DU and target IAB-DU can receive the UL F1AP BAP configuration from its terminating IAB-donor-CU respectively. Then the mobile IAB-MT can perform the routing and bearer mapping for UL traffic from each IAB-DU based on the UL F1AP BAP configuration of the corresponding IAB-DU. Alternatively, the UL BAP configuration may be pre-defined to be configured by only one of the two IAB-donors, but it needs extra coordination between two IAB-donors.</w:t>
      </w:r>
    </w:p>
    <w:p w14:paraId="6226B3AC" w14:textId="06455FAE" w:rsidR="00D0612D" w:rsidRPr="007D2B81" w:rsidRDefault="00C21428" w:rsidP="007D2B81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E5FD8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lastRenderedPageBreak/>
        <w:t>P</w:t>
      </w:r>
      <w:r w:rsidRPr="006E5FD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16033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5</w:t>
      </w:r>
      <w:r w:rsidRPr="006E5FD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 UL F1AP BAP configuration of each logical IAB-DU is configured by its</w:t>
      </w:r>
      <w:r w:rsidR="00D7516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own</w:t>
      </w:r>
      <w:r w:rsidRPr="006E5FD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F1-terminating IAB-donor-CU</w:t>
      </w:r>
      <w:r w:rsidR="00D7516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via the corresponding F1AP connection</w:t>
      </w:r>
      <w:r w:rsidRPr="006E5FD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  <w:r w:rsidR="00FA36B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</w:p>
    <w:bookmarkEnd w:id="5"/>
    <w:p w14:paraId="4DB65650" w14:textId="6B682C06" w:rsidR="00FF6205" w:rsidRPr="0079429A" w:rsidRDefault="00962DC7" w:rsidP="00FF6205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I</w:t>
      </w:r>
      <w:r w:rsidRPr="00962DC7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nformation sharing between logical IAB-DUs</w:t>
      </w:r>
    </w:p>
    <w:tbl>
      <w:tblPr>
        <w:tblW w:w="9663" w:type="dxa"/>
        <w:tblInd w:w="-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63"/>
      </w:tblGrid>
      <w:tr w:rsidR="009F1F4A" w14:paraId="0655A74E" w14:textId="77777777" w:rsidTr="001C41B0">
        <w:trPr>
          <w:trHeight w:val="1477"/>
        </w:trPr>
        <w:tc>
          <w:tcPr>
            <w:tcW w:w="9663" w:type="dxa"/>
          </w:tcPr>
          <w:p w14:paraId="58CF5601" w14:textId="7A446497" w:rsidR="00404D86" w:rsidRDefault="00404D86" w:rsidP="009F1F4A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AN3 117-e:</w:t>
            </w:r>
          </w:p>
          <w:p w14:paraId="375175D1" w14:textId="3FC7B1A3" w:rsidR="00404D86" w:rsidRDefault="00404D86" w:rsidP="009D761B">
            <w:pPr>
              <w:rPr>
                <w:rFonts w:ascii="Calibri" w:hAnsi="Calibri" w:cs="Calibri"/>
                <w:b/>
                <w:bCs/>
                <w:color w:val="0000FF"/>
                <w:sz w:val="18"/>
                <w:szCs w:val="18"/>
                <w:lang w:eastAsia="en-US"/>
              </w:rPr>
            </w:pPr>
            <w:r w:rsidRPr="0034409C">
              <w:rPr>
                <w:rFonts w:ascii="Calibri" w:hAnsi="Calibri" w:cs="Calibri"/>
                <w:b/>
                <w:bCs/>
                <w:color w:val="0000FF"/>
                <w:sz w:val="18"/>
                <w:szCs w:val="18"/>
                <w:lang w:eastAsia="en-US"/>
              </w:rPr>
              <w:t xml:space="preserve">For mobile DU migration, RAN3 to discuss the benefit and whether to support the sharing info of configuration and/ or UE context between two logical DUs in the mobile IAB-node. </w:t>
            </w:r>
          </w:p>
          <w:p w14:paraId="6AF6A3A3" w14:textId="77777777" w:rsidR="001C41B0" w:rsidRPr="00404D86" w:rsidRDefault="001C41B0" w:rsidP="009D761B">
            <w:pPr>
              <w:rPr>
                <w:rFonts w:ascii="Calibri" w:hAnsi="Calibri" w:cs="Calibri"/>
                <w:b/>
                <w:bCs/>
                <w:color w:val="0000FF"/>
                <w:sz w:val="18"/>
                <w:szCs w:val="18"/>
                <w:lang w:eastAsia="en-US"/>
              </w:rPr>
            </w:pPr>
          </w:p>
          <w:p w14:paraId="2F476B18" w14:textId="3A8FABA7" w:rsidR="004877E1" w:rsidRPr="004877E1" w:rsidRDefault="004877E1" w:rsidP="009F1F4A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77E1">
              <w:rPr>
                <w:rFonts w:ascii="Times New Roman" w:hAnsi="Times New Roman" w:cs="Times New Roman" w:hint="eastAsia"/>
                <w:sz w:val="20"/>
                <w:szCs w:val="20"/>
              </w:rPr>
              <w:t>R</w:t>
            </w:r>
            <w:r w:rsidRPr="004877E1">
              <w:rPr>
                <w:rFonts w:ascii="Times New Roman" w:hAnsi="Times New Roman" w:cs="Times New Roman"/>
                <w:sz w:val="20"/>
                <w:szCs w:val="20"/>
              </w:rPr>
              <w:t>AN3 117bis-e:</w:t>
            </w:r>
          </w:p>
          <w:p w14:paraId="17F753C7" w14:textId="64F53D8E" w:rsidR="009F1F4A" w:rsidRPr="009F1F4A" w:rsidRDefault="009F1F4A" w:rsidP="009F1F4A">
            <w:pPr>
              <w:pStyle w:val="af3"/>
              <w:spacing w:before="0" w:beforeAutospacing="0" w:after="0" w:afterAutospacing="0"/>
              <w:rPr>
                <w:rFonts w:ascii="Calibri" w:hAnsi="Calibri" w:cs="Calibri"/>
                <w:color w:val="008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RAN3 to discuss whether and which information can be shared between two logical DUs in case of IAB-DU migration.</w:t>
            </w:r>
          </w:p>
        </w:tc>
      </w:tr>
    </w:tbl>
    <w:p w14:paraId="0F830C82" w14:textId="0BDE5CE0" w:rsidR="003B6157" w:rsidRPr="006479A2" w:rsidRDefault="003B6157" w:rsidP="009F1F4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bookmarkStart w:id="9" w:name="OLE_LINK5"/>
      <w:r w:rsidRPr="006479A2"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 w:rsidRPr="006479A2">
        <w:rPr>
          <w:rFonts w:ascii="Times New Roman" w:eastAsia="宋体" w:hAnsi="Times New Roman" w:cs="Times New Roman"/>
          <w:kern w:val="0"/>
          <w:sz w:val="20"/>
          <w:szCs w:val="20"/>
        </w:rPr>
        <w:t>n case of inter-donor mobile IAB-DU migration, the mobile IAB-node will support two logical IAB-DUs which have their F1 connections to source and target IAB-donor-CU, respectively. And the served connected UEs perform handover from the cell of the source logical IAB-DU</w:t>
      </w:r>
      <w:r w:rsidR="00D62523" w:rsidRPr="006479A2">
        <w:rPr>
          <w:rFonts w:ascii="Times New Roman" w:eastAsia="宋体" w:hAnsi="Times New Roman" w:cs="Times New Roman"/>
          <w:kern w:val="0"/>
          <w:sz w:val="20"/>
          <w:szCs w:val="20"/>
        </w:rPr>
        <w:t>1</w:t>
      </w:r>
      <w:r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the cell of the target logical IAB-DU</w:t>
      </w:r>
      <w:r w:rsidR="00D62523" w:rsidRPr="006479A2">
        <w:rPr>
          <w:rFonts w:ascii="Times New Roman" w:eastAsia="宋体" w:hAnsi="Times New Roman" w:cs="Times New Roman"/>
          <w:kern w:val="0"/>
          <w:sz w:val="20"/>
          <w:szCs w:val="20"/>
        </w:rPr>
        <w:t>2</w:t>
      </w:r>
      <w:r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</w:p>
    <w:p w14:paraId="4AF0671F" w14:textId="2010CFC6" w:rsidR="00E11B68" w:rsidRPr="006479A2" w:rsidRDefault="00D62523" w:rsidP="00B173B2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6479A2">
        <w:rPr>
          <w:rFonts w:ascii="Times New Roman" w:eastAsia="宋体" w:hAnsi="Times New Roman" w:cs="Times New Roman"/>
          <w:kern w:val="0"/>
          <w:sz w:val="20"/>
          <w:szCs w:val="20"/>
        </w:rPr>
        <w:t>As</w:t>
      </w:r>
      <w:r w:rsidR="003B6157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the served UEs of mobile IAB-node, since </w:t>
      </w:r>
      <w:r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source logical </w:t>
      </w:r>
      <w:r w:rsidR="003B6157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IAB-DU1 and </w:t>
      </w:r>
      <w:r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target logical </w:t>
      </w:r>
      <w:r w:rsidR="003B6157" w:rsidRPr="006479A2">
        <w:rPr>
          <w:rFonts w:ascii="Times New Roman" w:eastAsia="宋体" w:hAnsi="Times New Roman" w:cs="Times New Roman"/>
          <w:kern w:val="0"/>
          <w:sz w:val="20"/>
          <w:szCs w:val="20"/>
        </w:rPr>
        <w:t>IAB-DU2 are co-located physically and the serving mobile IAB-node doesn’t change for UE during the whole full migration procedure</w:t>
      </w:r>
      <w:r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 or IAB-DU migration procedure</w:t>
      </w:r>
      <w:r w:rsidR="003B6157" w:rsidRPr="006479A2">
        <w:rPr>
          <w:rFonts w:ascii="Times New Roman" w:eastAsia="宋体" w:hAnsi="Times New Roman" w:cs="Times New Roman"/>
          <w:kern w:val="0"/>
          <w:sz w:val="20"/>
          <w:szCs w:val="20"/>
        </w:rPr>
        <w:t>, which means</w:t>
      </w:r>
      <w:r w:rsidR="00A24144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E03558" w:rsidRPr="006479A2">
        <w:rPr>
          <w:rFonts w:ascii="Times New Roman" w:eastAsia="宋体" w:hAnsi="Times New Roman" w:cs="Times New Roman"/>
          <w:kern w:val="0"/>
          <w:sz w:val="20"/>
          <w:szCs w:val="20"/>
        </w:rPr>
        <w:t>the air interface between the UE and the mobile IAB-node may be maintained during the whole full migration procedure or IAB-DU migration procedure</w:t>
      </w:r>
      <w:r w:rsidR="00A24144" w:rsidRPr="006479A2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E03558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854F35" w:rsidRPr="006479A2">
        <w:rPr>
          <w:rFonts w:ascii="Times New Roman" w:eastAsia="宋体" w:hAnsi="Times New Roman" w:cs="Times New Roman"/>
          <w:kern w:val="0"/>
          <w:sz w:val="20"/>
          <w:szCs w:val="20"/>
        </w:rPr>
        <w:t>Therefore, i</w:t>
      </w:r>
      <w:r w:rsidR="00E03558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case, </w:t>
      </w:r>
      <w:r w:rsidR="00854F35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at least some </w:t>
      </w:r>
      <w:r w:rsidR="00E03558" w:rsidRPr="006479A2">
        <w:rPr>
          <w:rFonts w:ascii="Times New Roman" w:eastAsia="宋体" w:hAnsi="Times New Roman" w:cs="Times New Roman"/>
          <w:kern w:val="0"/>
          <w:sz w:val="20"/>
          <w:szCs w:val="20"/>
        </w:rPr>
        <w:t>lower layer configurations (RLC, MAC and PHY) can be reused before and after migration</w:t>
      </w:r>
      <w:r w:rsidR="00854F35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 between source logical IAB-DU1 and target logical IAB-DU2</w:t>
      </w:r>
      <w:r w:rsidR="00E03558" w:rsidRPr="006479A2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A24144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bookmarkEnd w:id="4"/>
    <w:bookmarkEnd w:id="9"/>
    <w:p w14:paraId="114EAD86" w14:textId="3208ABAF" w:rsidR="00E11B68" w:rsidRPr="006479A2" w:rsidRDefault="00E11B68" w:rsidP="00E03558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6479A2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16033B"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6479A2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2E6015" w:rsidRPr="006479A2">
        <w:rPr>
          <w:rFonts w:ascii="Times New Roman" w:hAnsi="Times New Roman" w:cs="Times New Roman"/>
          <w:b/>
          <w:bCs/>
          <w:sz w:val="20"/>
          <w:szCs w:val="20"/>
        </w:rPr>
        <w:t xml:space="preserve">Lower </w:t>
      </w:r>
      <w:r w:rsidRPr="006479A2">
        <w:rPr>
          <w:rFonts w:ascii="Times New Roman" w:hAnsi="Times New Roman" w:cs="Times New Roman"/>
          <w:b/>
          <w:bCs/>
          <w:sz w:val="20"/>
          <w:szCs w:val="20"/>
        </w:rPr>
        <w:t>layer configuration</w:t>
      </w:r>
      <w:r w:rsidR="00854F35" w:rsidRPr="006479A2">
        <w:rPr>
          <w:rFonts w:ascii="Times New Roman" w:hAnsi="Times New Roman" w:cs="Times New Roman"/>
          <w:b/>
          <w:bCs/>
          <w:sz w:val="20"/>
          <w:szCs w:val="20"/>
        </w:rPr>
        <w:t xml:space="preserve"> (RLC, MAC and PHY)</w:t>
      </w:r>
      <w:r w:rsidRPr="006479A2">
        <w:rPr>
          <w:rFonts w:ascii="Times New Roman" w:hAnsi="Times New Roman" w:cs="Times New Roman"/>
          <w:b/>
          <w:bCs/>
          <w:sz w:val="20"/>
          <w:szCs w:val="20"/>
        </w:rPr>
        <w:t xml:space="preserve"> can be shared between two logical </w:t>
      </w:r>
      <w:r w:rsidR="00854F35" w:rsidRPr="006479A2">
        <w:rPr>
          <w:rFonts w:ascii="Times New Roman" w:hAnsi="Times New Roman" w:cs="Times New Roman"/>
          <w:b/>
          <w:bCs/>
          <w:sz w:val="20"/>
          <w:szCs w:val="20"/>
        </w:rPr>
        <w:t>IAB-</w:t>
      </w:r>
      <w:r w:rsidRPr="006479A2">
        <w:rPr>
          <w:rFonts w:ascii="Times New Roman" w:hAnsi="Times New Roman" w:cs="Times New Roman"/>
          <w:b/>
          <w:bCs/>
          <w:sz w:val="20"/>
          <w:szCs w:val="20"/>
        </w:rPr>
        <w:t xml:space="preserve">DUs in case of </w:t>
      </w:r>
      <w:r w:rsidR="00854F35" w:rsidRPr="006479A2">
        <w:rPr>
          <w:rFonts w:ascii="Times New Roman" w:hAnsi="Times New Roman" w:cs="Times New Roman"/>
          <w:b/>
          <w:bCs/>
          <w:sz w:val="20"/>
          <w:szCs w:val="20"/>
        </w:rPr>
        <w:t xml:space="preserve">full migration and </w:t>
      </w:r>
      <w:r w:rsidRPr="006479A2">
        <w:rPr>
          <w:rFonts w:ascii="Times New Roman" w:hAnsi="Times New Roman" w:cs="Times New Roman"/>
          <w:b/>
          <w:bCs/>
          <w:sz w:val="20"/>
          <w:szCs w:val="20"/>
        </w:rPr>
        <w:t>IAB-DU migration.</w:t>
      </w:r>
    </w:p>
    <w:p w14:paraId="53D2660D" w14:textId="117C8E59" w:rsidR="005E5569" w:rsidRPr="0079429A" w:rsidRDefault="0025021B" w:rsidP="005E5569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C</w:t>
      </w:r>
      <w:r w:rsidR="005E5569" w:rsidRPr="005E5569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onfiguration for IAB-DU</w:t>
      </w: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’s</w:t>
      </w:r>
      <w:r w:rsidR="005E5569" w:rsidRPr="005E5569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 </w:t>
      </w: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parameters</w:t>
      </w:r>
    </w:p>
    <w:tbl>
      <w:tblPr>
        <w:tblW w:w="9663" w:type="dxa"/>
        <w:tblInd w:w="-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63"/>
      </w:tblGrid>
      <w:tr w:rsidR="00457A21" w14:paraId="17A2C2A3" w14:textId="77777777" w:rsidTr="000302F2">
        <w:trPr>
          <w:trHeight w:val="2129"/>
        </w:trPr>
        <w:tc>
          <w:tcPr>
            <w:tcW w:w="9663" w:type="dxa"/>
          </w:tcPr>
          <w:p w14:paraId="4EB18792" w14:textId="1B208BFC" w:rsidR="0001682C" w:rsidRDefault="0001682C" w:rsidP="000E47A7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AN3 117-e:</w:t>
            </w:r>
          </w:p>
          <w:p w14:paraId="0766CEB9" w14:textId="50B7466F" w:rsidR="00602419" w:rsidRPr="0001682C" w:rsidRDefault="0001682C" w:rsidP="000E47A7">
            <w:pPr>
              <w:pStyle w:val="af3"/>
              <w:spacing w:before="0" w:beforeAutospacing="0" w:after="0" w:afterAutospacing="0"/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</w:pPr>
            <w:r w:rsidRPr="0001682C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RAN3 to discuss whether a mobile IAB node may be configured with multiple configurations, each corresponding to a different target donor, that can be activated upon fulfillment of certain condition(s). The details of the configurations are FFS.</w:t>
            </w:r>
          </w:p>
          <w:p w14:paraId="26719FB5" w14:textId="4AA6FA38" w:rsidR="00457A21" w:rsidRPr="004877E1" w:rsidRDefault="00457A21" w:rsidP="000E47A7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77E1">
              <w:rPr>
                <w:rFonts w:ascii="Times New Roman" w:hAnsi="Times New Roman" w:cs="Times New Roman" w:hint="eastAsia"/>
                <w:sz w:val="20"/>
                <w:szCs w:val="20"/>
              </w:rPr>
              <w:t>R</w:t>
            </w:r>
            <w:r w:rsidRPr="004877E1">
              <w:rPr>
                <w:rFonts w:ascii="Times New Roman" w:hAnsi="Times New Roman" w:cs="Times New Roman"/>
                <w:sz w:val="20"/>
                <w:szCs w:val="20"/>
              </w:rPr>
              <w:t>AN3 117bis-e:</w:t>
            </w:r>
          </w:p>
          <w:p w14:paraId="1FCB4CD6" w14:textId="77777777" w:rsidR="00457A21" w:rsidRDefault="00457A21" w:rsidP="000E47A7">
            <w:pPr>
              <w:pStyle w:val="af3"/>
              <w:spacing w:before="0" w:beforeAutospacing="0" w:after="0" w:afterAutospacing="0"/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RAN3 to discuss which of the OAM-configured and network-configured parameters may be pre-configured at a mobile IAB-node, after a baseline procedure for IAB-DU migration is developed.</w:t>
            </w:r>
          </w:p>
          <w:p w14:paraId="4AB494B4" w14:textId="03A0DCE0" w:rsidR="00DD4C3D" w:rsidRPr="00DD4C3D" w:rsidRDefault="00DD4C3D" w:rsidP="000E47A7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77E1">
              <w:rPr>
                <w:rFonts w:ascii="Times New Roman" w:hAnsi="Times New Roman" w:cs="Times New Roman" w:hint="eastAsia"/>
                <w:sz w:val="20"/>
                <w:szCs w:val="20"/>
              </w:rPr>
              <w:t>R</w:t>
            </w:r>
            <w:r w:rsidRPr="004877E1">
              <w:rPr>
                <w:rFonts w:ascii="Times New Roman" w:hAnsi="Times New Roman" w:cs="Times New Roman"/>
                <w:sz w:val="20"/>
                <w:szCs w:val="20"/>
              </w:rPr>
              <w:t>AN3 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877E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008AB5B" w14:textId="5269E83D" w:rsidR="00DD4C3D" w:rsidRPr="00DD4C3D" w:rsidRDefault="00DD4C3D" w:rsidP="004B7283">
            <w:pPr>
              <w:pStyle w:val="af3"/>
              <w:spacing w:before="0" w:beforeAutospacing="0" w:after="0" w:afterAutospacing="0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4B7283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With respect to </w:t>
            </w:r>
            <w:proofErr w:type="spellStart"/>
            <w:r w:rsidRPr="004B7283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mIAB</w:t>
            </w:r>
            <w:proofErr w:type="spellEnd"/>
            <w:r w:rsidRPr="004B7283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-DU migration and partial migration, RAN3 to discuss how the mobile IAB-DU’s parameters are (re-)configured.</w:t>
            </w:r>
          </w:p>
        </w:tc>
      </w:tr>
    </w:tbl>
    <w:p w14:paraId="04D366AD" w14:textId="15669837" w:rsidR="00F03265" w:rsidRPr="006479A2" w:rsidRDefault="00104AE3" w:rsidP="005E556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6479A2">
        <w:rPr>
          <w:rFonts w:ascii="Times New Roman" w:eastAsia="宋体" w:hAnsi="Times New Roman" w:cs="Times New Roman" w:hint="eastAsia"/>
          <w:kern w:val="0"/>
          <w:sz w:val="20"/>
          <w:szCs w:val="20"/>
        </w:rPr>
        <w:t>P</w:t>
      </w:r>
      <w:r w:rsidRPr="006479A2">
        <w:rPr>
          <w:rFonts w:ascii="Times New Roman" w:eastAsia="宋体" w:hAnsi="Times New Roman" w:cs="Times New Roman"/>
          <w:kern w:val="0"/>
          <w:sz w:val="20"/>
          <w:szCs w:val="20"/>
        </w:rPr>
        <w:t>re-configuration at the mobile IAB-node may have some advantages to reduce the latency during IAB-DU migration or full migration</w:t>
      </w:r>
      <w:r w:rsidR="00A1547A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, especially for the case of regular </w:t>
      </w:r>
      <w:r w:rsidR="00A11000" w:rsidRPr="006479A2">
        <w:rPr>
          <w:rFonts w:ascii="Times New Roman" w:eastAsia="宋体" w:hAnsi="Times New Roman" w:cs="Times New Roman"/>
          <w:kern w:val="0"/>
          <w:sz w:val="20"/>
          <w:szCs w:val="20"/>
        </w:rPr>
        <w:t>trajectory</w:t>
      </w:r>
      <w:r w:rsidR="00A1547A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 or predicable </w:t>
      </w:r>
      <w:r w:rsidR="00A11000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trajectory </w:t>
      </w:r>
      <w:r w:rsidR="00A1547A" w:rsidRPr="006479A2">
        <w:rPr>
          <w:rFonts w:ascii="Times New Roman" w:eastAsia="宋体" w:hAnsi="Times New Roman" w:cs="Times New Roman"/>
          <w:kern w:val="0"/>
          <w:sz w:val="20"/>
          <w:szCs w:val="20"/>
        </w:rPr>
        <w:t>of mobile IAB-node.</w:t>
      </w:r>
      <w:r w:rsidR="002E3135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4F1645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In addition, </w:t>
      </w:r>
      <w:r w:rsidR="003C49ED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only </w:t>
      </w:r>
      <w:r w:rsidR="00BD36A4">
        <w:rPr>
          <w:rFonts w:ascii="Times New Roman" w:eastAsia="宋体" w:hAnsi="Times New Roman" w:cs="Times New Roman"/>
          <w:kern w:val="0"/>
          <w:sz w:val="20"/>
          <w:szCs w:val="20"/>
        </w:rPr>
        <w:t>some</w:t>
      </w:r>
      <w:r w:rsidR="006D5547">
        <w:rPr>
          <w:rFonts w:ascii="Times New Roman" w:eastAsia="宋体" w:hAnsi="Times New Roman" w:cs="Times New Roman"/>
          <w:kern w:val="0"/>
          <w:sz w:val="20"/>
          <w:szCs w:val="20"/>
        </w:rPr>
        <w:t xml:space="preserve"> relative</w:t>
      </w:r>
      <w:r w:rsidR="009150D1">
        <w:rPr>
          <w:rFonts w:ascii="Times New Roman" w:eastAsia="宋体" w:hAnsi="Times New Roman" w:cs="Times New Roman"/>
          <w:kern w:val="0"/>
          <w:sz w:val="20"/>
          <w:szCs w:val="20"/>
        </w:rPr>
        <w:t>-</w:t>
      </w:r>
      <w:r w:rsidR="003C49ED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static paraments could </w:t>
      </w:r>
      <w:proofErr w:type="gramStart"/>
      <w:r w:rsidR="003C49ED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be </w:t>
      </w:r>
      <w:r w:rsidR="002E699D" w:rsidRPr="006479A2">
        <w:rPr>
          <w:rFonts w:ascii="Times New Roman" w:eastAsia="宋体" w:hAnsi="Times New Roman" w:cs="Times New Roman"/>
          <w:kern w:val="0"/>
          <w:sz w:val="20"/>
          <w:szCs w:val="20"/>
        </w:rPr>
        <w:t>considered to be</w:t>
      </w:r>
      <w:proofErr w:type="gramEnd"/>
      <w:r w:rsidR="002E699D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3C49ED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pre-configured at the mobile IAB-node, otherwise, it’s meaningless </w:t>
      </w:r>
      <w:r w:rsidR="00956E73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the pre-configured parameters may be already outdated by the time they are used which </w:t>
      </w:r>
      <w:r w:rsidR="001318BC" w:rsidRPr="006479A2">
        <w:rPr>
          <w:rFonts w:ascii="Times New Roman" w:eastAsia="宋体" w:hAnsi="Times New Roman" w:cs="Times New Roman"/>
          <w:kern w:val="0"/>
          <w:sz w:val="20"/>
          <w:szCs w:val="20"/>
        </w:rPr>
        <w:t>led</w:t>
      </w:r>
      <w:r w:rsidR="00956E73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extra overhead.</w:t>
      </w:r>
      <w:r w:rsidR="006E3B4C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 As an example,</w:t>
      </w:r>
      <w:r w:rsidR="009D52B4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 at least</w:t>
      </w:r>
      <w:r w:rsidR="006E3B4C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TNL address(es) of IAB-DU and target IAB-donor-CU</w:t>
      </w:r>
      <w:r w:rsidR="000B6595">
        <w:rPr>
          <w:rFonts w:ascii="Times New Roman" w:eastAsia="宋体" w:hAnsi="Times New Roman" w:cs="Times New Roman"/>
          <w:kern w:val="0"/>
          <w:sz w:val="20"/>
          <w:szCs w:val="20"/>
        </w:rPr>
        <w:t>, and NCGI of IAB-DU</w:t>
      </w:r>
      <w:r w:rsidR="006E3B4C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AC018E" w:rsidRPr="006479A2">
        <w:rPr>
          <w:rFonts w:ascii="Times New Roman" w:eastAsia="宋体" w:hAnsi="Times New Roman" w:cs="Times New Roman"/>
          <w:kern w:val="0"/>
          <w:sz w:val="20"/>
          <w:szCs w:val="20"/>
        </w:rPr>
        <w:t>can be pre-stored at the mobile IAB-node to accelerate the F1 setup between second logical IAB-DU and target IAB-donor-CU.</w:t>
      </w:r>
      <w:r w:rsidR="002E6015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37934E39" w14:textId="4CCD8224" w:rsidR="00662CC3" w:rsidRPr="006479A2" w:rsidRDefault="00662CC3" w:rsidP="00662CC3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 w:rsidRPr="006479A2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1D1A86"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Pr="006479A2">
        <w:rPr>
          <w:rFonts w:ascii="Times New Roman" w:hAnsi="Times New Roman" w:cs="Times New Roman"/>
          <w:b/>
          <w:bCs/>
          <w:sz w:val="20"/>
          <w:szCs w:val="20"/>
        </w:rPr>
        <w:t xml:space="preserve">: The TNL address(es) of </w:t>
      </w:r>
      <w:r w:rsidR="00AC018E" w:rsidRPr="006479A2">
        <w:rPr>
          <w:rFonts w:ascii="Times New Roman" w:hAnsi="Times New Roman" w:cs="Times New Roman"/>
          <w:b/>
          <w:bCs/>
          <w:sz w:val="20"/>
          <w:szCs w:val="20"/>
        </w:rPr>
        <w:t>IAB-DU and target IAB-donor-CU</w:t>
      </w:r>
      <w:r w:rsidR="000B6595">
        <w:rPr>
          <w:rFonts w:ascii="Times New Roman" w:hAnsi="Times New Roman" w:cs="Times New Roman"/>
          <w:b/>
          <w:bCs/>
          <w:sz w:val="20"/>
          <w:szCs w:val="20"/>
        </w:rPr>
        <w:t>, and NCGI of IAB-DU</w:t>
      </w:r>
      <w:r w:rsidRPr="006479A2">
        <w:rPr>
          <w:rFonts w:ascii="Times New Roman" w:hAnsi="Times New Roman" w:cs="Times New Roman"/>
          <w:b/>
          <w:bCs/>
          <w:sz w:val="20"/>
          <w:szCs w:val="20"/>
        </w:rPr>
        <w:t xml:space="preserve"> can be pre-configured at the mobile IAB-node</w:t>
      </w:r>
      <w:r w:rsidR="00F03265" w:rsidRPr="006479A2">
        <w:rPr>
          <w:rFonts w:ascii="Times New Roman" w:hAnsi="Times New Roman" w:cs="Times New Roman"/>
          <w:b/>
          <w:bCs/>
          <w:sz w:val="20"/>
          <w:szCs w:val="20"/>
        </w:rPr>
        <w:t xml:space="preserve"> in case of determined </w:t>
      </w:r>
      <w:r w:rsidR="00A11000" w:rsidRPr="006479A2">
        <w:rPr>
          <w:rFonts w:ascii="Times New Roman" w:hAnsi="Times New Roman" w:cs="Times New Roman"/>
          <w:b/>
          <w:bCs/>
          <w:sz w:val="20"/>
          <w:szCs w:val="20"/>
        </w:rPr>
        <w:t>trajectory</w:t>
      </w:r>
      <w:r w:rsidRPr="006479A2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="00001173" w:rsidRPr="006479A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3465DC84" w14:textId="6CDC6C29" w:rsidR="000B6595" w:rsidRDefault="00996310" w:rsidP="005E556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However, for the mobile IAB-node, </w:t>
      </w:r>
      <w:r w:rsidR="00292747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target IAB-donor-CU </w:t>
      </w:r>
      <w:r w:rsidR="00A71889" w:rsidRPr="006479A2">
        <w:rPr>
          <w:rFonts w:ascii="Times New Roman" w:eastAsia="宋体" w:hAnsi="Times New Roman" w:cs="Times New Roman"/>
          <w:kern w:val="0"/>
          <w:sz w:val="20"/>
          <w:szCs w:val="20"/>
        </w:rPr>
        <w:t>may be</w:t>
      </w:r>
      <w:r w:rsidR="00292747" w:rsidRPr="006479A2">
        <w:rPr>
          <w:rFonts w:ascii="Times New Roman" w:eastAsia="宋体" w:hAnsi="Times New Roman" w:cs="Times New Roman"/>
          <w:kern w:val="0"/>
          <w:sz w:val="20"/>
          <w:szCs w:val="20"/>
        </w:rPr>
        <w:t xml:space="preserve"> unpredictable due to the random mobility of mobile IAB-node, </w:t>
      </w:r>
      <w:r w:rsidR="005D1AED"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in this case, </w:t>
      </w:r>
      <w:r w:rsidR="0048326C">
        <w:rPr>
          <w:rFonts w:ascii="Times New Roman" w:eastAsia="宋体" w:hAnsi="Times New Roman" w:cs="Times New Roman"/>
          <w:kern w:val="0"/>
          <w:sz w:val="20"/>
          <w:szCs w:val="20"/>
        </w:rPr>
        <w:t xml:space="preserve">pre-configuration at the IAB-DU may not </w:t>
      </w:r>
      <w:r w:rsidR="00CB7448">
        <w:rPr>
          <w:rFonts w:ascii="Times New Roman" w:eastAsia="宋体" w:hAnsi="Times New Roman" w:cs="Times New Roman"/>
          <w:kern w:val="0"/>
          <w:sz w:val="20"/>
          <w:szCs w:val="20"/>
        </w:rPr>
        <w:t>feasible.</w:t>
      </w:r>
    </w:p>
    <w:p w14:paraId="5F2E3FC1" w14:textId="00B01FB3" w:rsidR="00ED2423" w:rsidRDefault="00ED2423" w:rsidP="005E556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or NCGI of IAB-DU, as legacy, it’s configured by OAM and </w:t>
      </w:r>
      <w:r w:rsidRPr="00ED2423">
        <w:rPr>
          <w:rFonts w:ascii="Times New Roman" w:eastAsia="宋体" w:hAnsi="Times New Roman" w:cs="Times New Roman"/>
          <w:kern w:val="0"/>
          <w:sz w:val="20"/>
          <w:szCs w:val="20"/>
        </w:rPr>
        <w:t xml:space="preserve">is changed when the F1-terminating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IAB-</w:t>
      </w:r>
      <w:r w:rsidRPr="00ED2423">
        <w:rPr>
          <w:rFonts w:ascii="Times New Roman" w:eastAsia="宋体" w:hAnsi="Times New Roman" w:cs="Times New Roman"/>
          <w:kern w:val="0"/>
          <w:sz w:val="20"/>
          <w:szCs w:val="20"/>
        </w:rPr>
        <w:t>donor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-</w:t>
      </w:r>
      <w:r w:rsidRPr="00ED2423">
        <w:rPr>
          <w:rFonts w:ascii="Times New Roman" w:eastAsia="宋体" w:hAnsi="Times New Roman" w:cs="Times New Roman"/>
          <w:kern w:val="0"/>
          <w:sz w:val="20"/>
          <w:szCs w:val="20"/>
        </w:rPr>
        <w:t>CU of the IAB-DU is changed.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OAM based reconfiguration </w:t>
      </w:r>
      <w:r w:rsidR="00FC0D8B">
        <w:rPr>
          <w:rFonts w:ascii="Times New Roman" w:eastAsia="宋体" w:hAnsi="Times New Roman" w:cs="Times New Roman"/>
          <w:kern w:val="0"/>
          <w:sz w:val="20"/>
          <w:szCs w:val="20"/>
        </w:rPr>
        <w:t>may cause extra latency</w:t>
      </w:r>
      <w:r w:rsidR="00AF252F">
        <w:rPr>
          <w:rFonts w:ascii="Times New Roman" w:eastAsia="宋体" w:hAnsi="Times New Roman" w:cs="Times New Roman"/>
          <w:kern w:val="0"/>
          <w:sz w:val="20"/>
          <w:szCs w:val="20"/>
        </w:rPr>
        <w:t xml:space="preserve">. To </w:t>
      </w:r>
      <w:r w:rsidR="00AF252F" w:rsidRPr="00AF252F">
        <w:rPr>
          <w:rFonts w:ascii="Times New Roman" w:eastAsia="宋体" w:hAnsi="Times New Roman" w:cs="Times New Roman"/>
          <w:kern w:val="0"/>
          <w:sz w:val="20"/>
          <w:szCs w:val="20"/>
        </w:rPr>
        <w:t>accommodate</w:t>
      </w:r>
      <w:r w:rsidR="00AF252F">
        <w:rPr>
          <w:rFonts w:ascii="Times New Roman" w:eastAsia="宋体" w:hAnsi="Times New Roman" w:cs="Times New Roman"/>
          <w:kern w:val="0"/>
          <w:sz w:val="20"/>
          <w:szCs w:val="20"/>
        </w:rPr>
        <w:t xml:space="preserve"> frequent NCGI change of IAB-DU due to IAB-node mobility, IAB-donor-CU based reconfiguration for NCGI is more flexible. </w:t>
      </w:r>
    </w:p>
    <w:p w14:paraId="1ABBDAE3" w14:textId="01EE9B5F" w:rsidR="00E11B68" w:rsidRPr="006479A2" w:rsidRDefault="007C1161" w:rsidP="0004389E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 w:rsidRPr="006479A2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1D1A86">
        <w:rPr>
          <w:rFonts w:ascii="Times New Roman" w:hAnsi="Times New Roman" w:cs="Times New Roman"/>
          <w:b/>
          <w:bCs/>
          <w:sz w:val="20"/>
          <w:szCs w:val="20"/>
        </w:rPr>
        <w:t>8</w:t>
      </w:r>
      <w:r w:rsidRPr="006479A2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="007B634D" w:rsidRPr="006479A2">
        <w:rPr>
          <w:rFonts w:ascii="Times New Roman" w:hAnsi="Times New Roman" w:cs="Times New Roman"/>
          <w:b/>
          <w:bCs/>
          <w:sz w:val="20"/>
          <w:szCs w:val="20"/>
        </w:rPr>
        <w:t xml:space="preserve"> F1-terminating IAB-donor-CU </w:t>
      </w:r>
      <w:r w:rsidR="009B6F77">
        <w:rPr>
          <w:rFonts w:ascii="Times New Roman" w:hAnsi="Times New Roman" w:cs="Times New Roman"/>
          <w:b/>
          <w:bCs/>
          <w:sz w:val="20"/>
          <w:szCs w:val="20"/>
        </w:rPr>
        <w:t>can reconfigure the NCGI of IAB-DU</w:t>
      </w:r>
      <w:r w:rsidRPr="006479A2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="009B6F7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1DAEA06C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is contribution aims to</w:t>
      </w:r>
      <w:r w:rsidR="00C00903" w:rsidRP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853907">
        <w:rPr>
          <w:rFonts w:ascii="Times New Roman" w:eastAsia="宋体" w:hAnsi="Times New Roman" w:cs="Times New Roman" w:hint="eastAsia"/>
          <w:kern w:val="0"/>
          <w:sz w:val="20"/>
          <w:szCs w:val="20"/>
        </w:rPr>
        <w:t>e</w:t>
      </w:r>
      <w:r w:rsidR="00853907" w:rsidRPr="00853907">
        <w:rPr>
          <w:rFonts w:ascii="Times New Roman" w:eastAsia="宋体" w:hAnsi="Times New Roman" w:cs="Times New Roman"/>
          <w:kern w:val="0"/>
          <w:sz w:val="20"/>
          <w:szCs w:val="20"/>
        </w:rPr>
        <w:t xml:space="preserve">nhancements for mobility of an IAB-node together with </w:t>
      </w:r>
      <w:proofErr w:type="gramStart"/>
      <w:r w:rsidR="00853907" w:rsidRPr="00853907">
        <w:rPr>
          <w:rFonts w:ascii="Times New Roman" w:eastAsia="宋体" w:hAnsi="Times New Roman" w:cs="Times New Roman"/>
          <w:kern w:val="0"/>
          <w:sz w:val="20"/>
          <w:szCs w:val="20"/>
        </w:rPr>
        <w:t>its</w:t>
      </w:r>
      <w:proofErr w:type="gramEnd"/>
      <w:r w:rsidR="00853907" w:rsidRPr="00853907">
        <w:rPr>
          <w:rFonts w:ascii="Times New Roman" w:eastAsia="宋体" w:hAnsi="Times New Roman" w:cs="Times New Roman"/>
          <w:kern w:val="0"/>
          <w:sz w:val="20"/>
          <w:szCs w:val="20"/>
        </w:rPr>
        <w:t xml:space="preserve"> served UEs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3FCC9C65" w14:textId="1B3C7042" w:rsidR="006F4525" w:rsidRPr="006479A2" w:rsidRDefault="006F4525" w:rsidP="006F4525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6479A2">
        <w:rPr>
          <w:rFonts w:ascii="Times New Roman" w:hAnsi="Times New Roman" w:cs="Times New Roman"/>
          <w:b/>
          <w:bCs/>
          <w:sz w:val="20"/>
          <w:szCs w:val="20"/>
        </w:rPr>
        <w:t>Proposal 1: IAB-donor-CU configures whether each cell of fixed parent node IAB-DU or IAB-donor-DU is mobile-IAB-supported.</w:t>
      </w:r>
    </w:p>
    <w:p w14:paraId="2798B498" w14:textId="360CF4E1" w:rsidR="006F4525" w:rsidRDefault="006F4525" w:rsidP="006F4525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6479A2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Proposal 2: Source IAB-donor-CU of a fixed IAB-node should be aware of whether potential </w:t>
      </w:r>
      <w:r w:rsidRPr="006479A2">
        <w:rPr>
          <w:rFonts w:ascii="Times New Roman" w:hAnsi="Times New Roman" w:cs="Times New Roman" w:hint="eastAsia"/>
          <w:b/>
          <w:bCs/>
          <w:sz w:val="20"/>
          <w:szCs w:val="20"/>
        </w:rPr>
        <w:t>target cell belong</w:t>
      </w:r>
      <w:r w:rsidRPr="006479A2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Pr="006479A2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to a mobile IAB-node</w:t>
      </w:r>
      <w:r w:rsidRPr="006479A2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563DDC26" w14:textId="77777777" w:rsidR="00420583" w:rsidRPr="00420583" w:rsidRDefault="00420583" w:rsidP="00420583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420583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420583">
        <w:rPr>
          <w:rFonts w:ascii="Times New Roman" w:hAnsi="Times New Roman" w:cs="Times New Roman"/>
          <w:b/>
          <w:bCs/>
          <w:sz w:val="20"/>
          <w:szCs w:val="20"/>
        </w:rPr>
        <w:t xml:space="preserve">roposal 3: </w:t>
      </w:r>
      <w:r>
        <w:rPr>
          <w:rFonts w:ascii="Times New Roman" w:hAnsi="Times New Roman" w:cs="Times New Roman"/>
          <w:b/>
          <w:bCs/>
          <w:sz w:val="20"/>
          <w:szCs w:val="20"/>
        </w:rPr>
        <w:t>M</w:t>
      </w:r>
      <w:r w:rsidRPr="00420583">
        <w:rPr>
          <w:rFonts w:ascii="Times New Roman" w:hAnsi="Times New Roman" w:cs="Times New Roman"/>
          <w:b/>
          <w:bCs/>
          <w:sz w:val="20"/>
          <w:szCs w:val="20"/>
        </w:rPr>
        <w:t>obile IAB-node includes a mobile IAB-indication in MSG5, and IAB-donor-CU include</w:t>
      </w:r>
      <w:r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Pr="00420583">
        <w:rPr>
          <w:rFonts w:ascii="Times New Roman" w:hAnsi="Times New Roman" w:cs="Times New Roman"/>
          <w:b/>
          <w:bCs/>
          <w:sz w:val="20"/>
          <w:szCs w:val="20"/>
        </w:rPr>
        <w:t xml:space="preserve"> a mobile IAB-indication in NGAP INITIAL UE MESSAGE to AMF.</w:t>
      </w:r>
    </w:p>
    <w:p w14:paraId="28550642" w14:textId="3AB221E3" w:rsidR="006F4525" w:rsidRPr="006E5FD8" w:rsidRDefault="006F4525" w:rsidP="006F4525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E5FD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 w:rsidR="004205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4</w:t>
      </w:r>
      <w:r w:rsidRPr="006E5FD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 DL traffic differentiation for mobile IAB-node is based on the IP address, e.g., source IP address or target IP address of the DL traffic.</w:t>
      </w:r>
    </w:p>
    <w:p w14:paraId="60DDE00D" w14:textId="244F7369" w:rsidR="006F4525" w:rsidRPr="007D2B81" w:rsidRDefault="006F4525" w:rsidP="006F4525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E5FD8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6E5FD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42058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5</w:t>
      </w:r>
      <w:r w:rsidRPr="006E5FD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 UL F1AP BAP configuration of each logical IAB-DU is configured by its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own</w:t>
      </w:r>
      <w:r w:rsidRPr="006E5FD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F1-terminating IAB-donor-CU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via the corresponding F1AP connection</w:t>
      </w:r>
      <w:r w:rsidRPr="006E5FD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</w:p>
    <w:p w14:paraId="3AE936E7" w14:textId="2667B2D1" w:rsidR="006F4525" w:rsidRDefault="006F4525" w:rsidP="006F4525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6479A2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420583"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6479A2">
        <w:rPr>
          <w:rFonts w:ascii="Times New Roman" w:hAnsi="Times New Roman" w:cs="Times New Roman"/>
          <w:b/>
          <w:bCs/>
          <w:sz w:val="20"/>
          <w:szCs w:val="20"/>
        </w:rPr>
        <w:t>: Lower layer configuration (RLC, MAC and PHY) can be shared between two logical IAB-DUs in case of full migration and IAB-DU migration.</w:t>
      </w:r>
    </w:p>
    <w:p w14:paraId="0B589E4B" w14:textId="77777777" w:rsidR="005D5C6C" w:rsidRPr="006479A2" w:rsidRDefault="005D5C6C" w:rsidP="005D5C6C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 w:rsidRPr="006479A2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Pr="006479A2">
        <w:rPr>
          <w:rFonts w:ascii="Times New Roman" w:hAnsi="Times New Roman" w:cs="Times New Roman"/>
          <w:b/>
          <w:bCs/>
          <w:sz w:val="20"/>
          <w:szCs w:val="20"/>
        </w:rPr>
        <w:t>: The TNL address(es) of IAB-DU and target IAB-donor-CU</w:t>
      </w:r>
      <w:r>
        <w:rPr>
          <w:rFonts w:ascii="Times New Roman" w:hAnsi="Times New Roman" w:cs="Times New Roman"/>
          <w:b/>
          <w:bCs/>
          <w:sz w:val="20"/>
          <w:szCs w:val="20"/>
        </w:rPr>
        <w:t>, and NCGI of IAB-DU</w:t>
      </w:r>
      <w:r w:rsidRPr="006479A2">
        <w:rPr>
          <w:rFonts w:ascii="Times New Roman" w:hAnsi="Times New Roman" w:cs="Times New Roman"/>
          <w:b/>
          <w:bCs/>
          <w:sz w:val="20"/>
          <w:szCs w:val="20"/>
        </w:rPr>
        <w:t xml:space="preserve"> can be pre-configured at the mobile IAB-node in case of determined trajectory. </w:t>
      </w:r>
    </w:p>
    <w:p w14:paraId="7343CE92" w14:textId="397534B4" w:rsidR="005D5C6C" w:rsidRPr="005D5C6C" w:rsidRDefault="005D5C6C" w:rsidP="006F4525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 w:rsidRPr="006479A2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8</w:t>
      </w:r>
      <w:r w:rsidRPr="006479A2">
        <w:rPr>
          <w:rFonts w:ascii="Times New Roman" w:hAnsi="Times New Roman" w:cs="Times New Roman"/>
          <w:b/>
          <w:bCs/>
          <w:sz w:val="20"/>
          <w:szCs w:val="20"/>
        </w:rPr>
        <w:t xml:space="preserve">: F1-terminating IAB-donor-CU </w:t>
      </w:r>
      <w:r>
        <w:rPr>
          <w:rFonts w:ascii="Times New Roman" w:hAnsi="Times New Roman" w:cs="Times New Roman"/>
          <w:b/>
          <w:bCs/>
          <w:sz w:val="20"/>
          <w:szCs w:val="20"/>
        </w:rPr>
        <w:t>can reconfigure the NCGI of IAB-DU</w:t>
      </w:r>
      <w:r w:rsidRPr="006479A2">
        <w:rPr>
          <w:rFonts w:ascii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2"/>
    <w:bookmarkEnd w:id="3"/>
    <w:p w14:paraId="17AF3434" w14:textId="49014A6A" w:rsidR="00C45DB2" w:rsidRPr="00FD44EF" w:rsidRDefault="00FD44EF" w:rsidP="00FD44EF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RP-222671. Revised WID for </w:t>
      </w:r>
      <w:proofErr w:type="spellStart"/>
      <w:r>
        <w:rPr>
          <w:rFonts w:ascii="Times New Roman" w:eastAsia="宋体" w:hAnsi="Times New Roman" w:cs="Times New Roman"/>
          <w:kern w:val="0"/>
          <w:sz w:val="20"/>
          <w:lang w:val="x-none"/>
        </w:rPr>
        <w:t>NR_mobile_IAB</w:t>
      </w:r>
      <w:proofErr w:type="spellEnd"/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. </w:t>
      </w:r>
    </w:p>
    <w:p w14:paraId="3C31A8F3" w14:textId="6E7AFE40" w:rsidR="00694EC0" w:rsidRPr="006C6455" w:rsidRDefault="004623EC" w:rsidP="00DD4C3D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 w:hint="eastAsia"/>
          <w:kern w:val="0"/>
          <w:sz w:val="20"/>
          <w:lang w:val="x-none"/>
        </w:rPr>
        <w:t>C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hairman notes of RAN3 117-</w:t>
      </w:r>
      <w:r w:rsidR="00DD4C3D">
        <w:rPr>
          <w:rFonts w:ascii="Times New Roman" w:eastAsia="宋体" w:hAnsi="Times New Roman" w:cs="Times New Roman"/>
          <w:kern w:val="0"/>
          <w:sz w:val="20"/>
          <w:lang w:val="x-none"/>
        </w:rPr>
        <w:t>119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meeting</w:t>
      </w:r>
      <w:r w:rsidR="00DD4C3D">
        <w:rPr>
          <w:rFonts w:ascii="Times New Roman" w:eastAsia="宋体" w:hAnsi="Times New Roman" w:cs="Times New Roman"/>
          <w:kern w:val="0"/>
          <w:sz w:val="20"/>
          <w:lang w:val="x-none"/>
        </w:rPr>
        <w:t>s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</w:p>
    <w:sectPr w:rsidR="00694EC0" w:rsidRPr="006C6455" w:rsidSect="0085683C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F114D" w14:textId="77777777" w:rsidR="001C3A1E" w:rsidRDefault="001C3A1E" w:rsidP="00AA3FAE">
      <w:r>
        <w:separator/>
      </w:r>
    </w:p>
  </w:endnote>
  <w:endnote w:type="continuationSeparator" w:id="0">
    <w:p w14:paraId="2B4F6C55" w14:textId="77777777" w:rsidR="001C3A1E" w:rsidRDefault="001C3A1E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4F627" w14:textId="77777777" w:rsidR="001C3A1E" w:rsidRDefault="001C3A1E" w:rsidP="00AA3FAE">
      <w:r>
        <w:separator/>
      </w:r>
    </w:p>
  </w:footnote>
  <w:footnote w:type="continuationSeparator" w:id="0">
    <w:p w14:paraId="739AB678" w14:textId="77777777" w:rsidR="001C3A1E" w:rsidRDefault="001C3A1E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3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3F35A06"/>
    <w:multiLevelType w:val="hybridMultilevel"/>
    <w:tmpl w:val="CDA27A2E"/>
    <w:lvl w:ilvl="0" w:tplc="D7C2D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096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2D93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B04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24C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2F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5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4B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CE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55"/>
        </w:tabs>
        <w:ind w:left="-21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34"/>
        </w:tabs>
        <w:ind w:left="-23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614"/>
        </w:tabs>
        <w:ind w:left="-1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4"/>
        </w:tabs>
        <w:ind w:left="-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4"/>
        </w:tabs>
        <w:ind w:left="-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"/>
        </w:tabs>
        <w:ind w:left="5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266"/>
        </w:tabs>
        <w:ind w:left="12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</w:abstractNum>
  <w:abstractNum w:abstractNumId="9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36509394">
    <w:abstractNumId w:val="2"/>
  </w:num>
  <w:num w:numId="2" w16cid:durableId="1172791761">
    <w:abstractNumId w:val="5"/>
  </w:num>
  <w:num w:numId="3" w16cid:durableId="1866753295">
    <w:abstractNumId w:val="6"/>
  </w:num>
  <w:num w:numId="4" w16cid:durableId="85273210">
    <w:abstractNumId w:val="8"/>
  </w:num>
  <w:num w:numId="5" w16cid:durableId="394473741">
    <w:abstractNumId w:val="0"/>
  </w:num>
  <w:num w:numId="6" w16cid:durableId="1185901937">
    <w:abstractNumId w:val="1"/>
  </w:num>
  <w:num w:numId="7" w16cid:durableId="829835607">
    <w:abstractNumId w:val="9"/>
  </w:num>
  <w:num w:numId="8" w16cid:durableId="1018387535">
    <w:abstractNumId w:val="3"/>
  </w:num>
  <w:num w:numId="9" w16cid:durableId="1758676206">
    <w:abstractNumId w:val="7"/>
  </w:num>
  <w:num w:numId="10" w16cid:durableId="1667636920">
    <w:abstractNumId w:val="4"/>
  </w:num>
  <w:num w:numId="11" w16cid:durableId="150397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1173"/>
    <w:rsid w:val="00002113"/>
    <w:rsid w:val="000024F1"/>
    <w:rsid w:val="00006F15"/>
    <w:rsid w:val="0000703A"/>
    <w:rsid w:val="00011F5D"/>
    <w:rsid w:val="000165E4"/>
    <w:rsid w:val="0001682C"/>
    <w:rsid w:val="00017A52"/>
    <w:rsid w:val="00022004"/>
    <w:rsid w:val="00022A6F"/>
    <w:rsid w:val="000260B3"/>
    <w:rsid w:val="000302F2"/>
    <w:rsid w:val="000306D0"/>
    <w:rsid w:val="00032116"/>
    <w:rsid w:val="0003506D"/>
    <w:rsid w:val="00035328"/>
    <w:rsid w:val="000358DE"/>
    <w:rsid w:val="00035983"/>
    <w:rsid w:val="000362AC"/>
    <w:rsid w:val="0004389E"/>
    <w:rsid w:val="00046943"/>
    <w:rsid w:val="00047E11"/>
    <w:rsid w:val="000505CB"/>
    <w:rsid w:val="00050999"/>
    <w:rsid w:val="000566E1"/>
    <w:rsid w:val="00060A16"/>
    <w:rsid w:val="000613CF"/>
    <w:rsid w:val="000637B7"/>
    <w:rsid w:val="000664F5"/>
    <w:rsid w:val="0006683B"/>
    <w:rsid w:val="00067403"/>
    <w:rsid w:val="000700EE"/>
    <w:rsid w:val="00070D39"/>
    <w:rsid w:val="00072D31"/>
    <w:rsid w:val="0007335E"/>
    <w:rsid w:val="0007544B"/>
    <w:rsid w:val="00082040"/>
    <w:rsid w:val="00083ECB"/>
    <w:rsid w:val="00086B95"/>
    <w:rsid w:val="000874BB"/>
    <w:rsid w:val="00095520"/>
    <w:rsid w:val="0009781A"/>
    <w:rsid w:val="000A0A57"/>
    <w:rsid w:val="000A18DF"/>
    <w:rsid w:val="000A3D7E"/>
    <w:rsid w:val="000B1D18"/>
    <w:rsid w:val="000B557A"/>
    <w:rsid w:val="000B6595"/>
    <w:rsid w:val="000B7C20"/>
    <w:rsid w:val="000C0937"/>
    <w:rsid w:val="000C15D9"/>
    <w:rsid w:val="000C1958"/>
    <w:rsid w:val="000C3F89"/>
    <w:rsid w:val="000C663D"/>
    <w:rsid w:val="000C7510"/>
    <w:rsid w:val="000D0A67"/>
    <w:rsid w:val="000D1C68"/>
    <w:rsid w:val="000D3ADF"/>
    <w:rsid w:val="000D4846"/>
    <w:rsid w:val="000D5F51"/>
    <w:rsid w:val="000E0AF2"/>
    <w:rsid w:val="000E24D5"/>
    <w:rsid w:val="000E61B1"/>
    <w:rsid w:val="000E651D"/>
    <w:rsid w:val="000E706D"/>
    <w:rsid w:val="000F0260"/>
    <w:rsid w:val="000F0785"/>
    <w:rsid w:val="000F6A9D"/>
    <w:rsid w:val="00100689"/>
    <w:rsid w:val="00101812"/>
    <w:rsid w:val="0010237A"/>
    <w:rsid w:val="00103F6F"/>
    <w:rsid w:val="00104AE3"/>
    <w:rsid w:val="00111B28"/>
    <w:rsid w:val="0011469E"/>
    <w:rsid w:val="00115E31"/>
    <w:rsid w:val="00121955"/>
    <w:rsid w:val="00122FE5"/>
    <w:rsid w:val="00123848"/>
    <w:rsid w:val="0012573F"/>
    <w:rsid w:val="0012600A"/>
    <w:rsid w:val="00127BA7"/>
    <w:rsid w:val="00130515"/>
    <w:rsid w:val="001318BC"/>
    <w:rsid w:val="00134A9A"/>
    <w:rsid w:val="00134C0A"/>
    <w:rsid w:val="001353CD"/>
    <w:rsid w:val="00144D1D"/>
    <w:rsid w:val="0015523D"/>
    <w:rsid w:val="001556FC"/>
    <w:rsid w:val="00155F87"/>
    <w:rsid w:val="0016033B"/>
    <w:rsid w:val="00161A1A"/>
    <w:rsid w:val="001623DF"/>
    <w:rsid w:val="0017256C"/>
    <w:rsid w:val="00172D96"/>
    <w:rsid w:val="0017587A"/>
    <w:rsid w:val="001847E8"/>
    <w:rsid w:val="00190FAF"/>
    <w:rsid w:val="0019486E"/>
    <w:rsid w:val="0019499C"/>
    <w:rsid w:val="001A1855"/>
    <w:rsid w:val="001A2383"/>
    <w:rsid w:val="001A38C6"/>
    <w:rsid w:val="001A44C7"/>
    <w:rsid w:val="001B31AB"/>
    <w:rsid w:val="001C0436"/>
    <w:rsid w:val="001C0F1D"/>
    <w:rsid w:val="001C3355"/>
    <w:rsid w:val="001C3A1E"/>
    <w:rsid w:val="001C41B0"/>
    <w:rsid w:val="001D1A86"/>
    <w:rsid w:val="001D279D"/>
    <w:rsid w:val="001D64DD"/>
    <w:rsid w:val="001F0325"/>
    <w:rsid w:val="001F03D3"/>
    <w:rsid w:val="001F1C18"/>
    <w:rsid w:val="001F34D3"/>
    <w:rsid w:val="001F5824"/>
    <w:rsid w:val="0020327D"/>
    <w:rsid w:val="002070BF"/>
    <w:rsid w:val="00213791"/>
    <w:rsid w:val="002164AC"/>
    <w:rsid w:val="0022248C"/>
    <w:rsid w:val="00222F62"/>
    <w:rsid w:val="002271C5"/>
    <w:rsid w:val="00227B13"/>
    <w:rsid w:val="00230B9F"/>
    <w:rsid w:val="00232519"/>
    <w:rsid w:val="0023595E"/>
    <w:rsid w:val="00236927"/>
    <w:rsid w:val="00236C33"/>
    <w:rsid w:val="002420BA"/>
    <w:rsid w:val="0024433A"/>
    <w:rsid w:val="00245E3F"/>
    <w:rsid w:val="002500C6"/>
    <w:rsid w:val="0025021B"/>
    <w:rsid w:val="00251576"/>
    <w:rsid w:val="00252938"/>
    <w:rsid w:val="00256265"/>
    <w:rsid w:val="00261529"/>
    <w:rsid w:val="00263E38"/>
    <w:rsid w:val="00267A8C"/>
    <w:rsid w:val="00277010"/>
    <w:rsid w:val="00281EF8"/>
    <w:rsid w:val="00283294"/>
    <w:rsid w:val="00286C7E"/>
    <w:rsid w:val="0029202E"/>
    <w:rsid w:val="00292747"/>
    <w:rsid w:val="00292940"/>
    <w:rsid w:val="00294BCA"/>
    <w:rsid w:val="00296522"/>
    <w:rsid w:val="002A5557"/>
    <w:rsid w:val="002A67AC"/>
    <w:rsid w:val="002A6985"/>
    <w:rsid w:val="002A7108"/>
    <w:rsid w:val="002B23C1"/>
    <w:rsid w:val="002B42E0"/>
    <w:rsid w:val="002B61AB"/>
    <w:rsid w:val="002B7FB5"/>
    <w:rsid w:val="002C1BFE"/>
    <w:rsid w:val="002C6DA5"/>
    <w:rsid w:val="002D370E"/>
    <w:rsid w:val="002D68AD"/>
    <w:rsid w:val="002D6F0D"/>
    <w:rsid w:val="002E166E"/>
    <w:rsid w:val="002E2FB7"/>
    <w:rsid w:val="002E3135"/>
    <w:rsid w:val="002E3F52"/>
    <w:rsid w:val="002E4DF3"/>
    <w:rsid w:val="002E5E53"/>
    <w:rsid w:val="002E6015"/>
    <w:rsid w:val="002E6241"/>
    <w:rsid w:val="002E699D"/>
    <w:rsid w:val="002F0CB9"/>
    <w:rsid w:val="002F19C1"/>
    <w:rsid w:val="002F231B"/>
    <w:rsid w:val="002F4481"/>
    <w:rsid w:val="002F49BB"/>
    <w:rsid w:val="002F7DD1"/>
    <w:rsid w:val="00300908"/>
    <w:rsid w:val="00304AB3"/>
    <w:rsid w:val="003070E2"/>
    <w:rsid w:val="00312351"/>
    <w:rsid w:val="003169C7"/>
    <w:rsid w:val="0031760A"/>
    <w:rsid w:val="003179AD"/>
    <w:rsid w:val="0032136B"/>
    <w:rsid w:val="0032255E"/>
    <w:rsid w:val="00324B30"/>
    <w:rsid w:val="003266D9"/>
    <w:rsid w:val="0033243A"/>
    <w:rsid w:val="0033630B"/>
    <w:rsid w:val="00340F49"/>
    <w:rsid w:val="00341F62"/>
    <w:rsid w:val="00343D32"/>
    <w:rsid w:val="0035034A"/>
    <w:rsid w:val="00351B06"/>
    <w:rsid w:val="003521C3"/>
    <w:rsid w:val="00356EB9"/>
    <w:rsid w:val="00362F2C"/>
    <w:rsid w:val="00364AC3"/>
    <w:rsid w:val="00371B3B"/>
    <w:rsid w:val="00373427"/>
    <w:rsid w:val="003848D1"/>
    <w:rsid w:val="00384956"/>
    <w:rsid w:val="00385E03"/>
    <w:rsid w:val="00387EF8"/>
    <w:rsid w:val="003901C4"/>
    <w:rsid w:val="003976B5"/>
    <w:rsid w:val="003A0B1A"/>
    <w:rsid w:val="003A4A2A"/>
    <w:rsid w:val="003A5735"/>
    <w:rsid w:val="003A65A3"/>
    <w:rsid w:val="003B170E"/>
    <w:rsid w:val="003B4C4B"/>
    <w:rsid w:val="003B6157"/>
    <w:rsid w:val="003C0F48"/>
    <w:rsid w:val="003C172B"/>
    <w:rsid w:val="003C333E"/>
    <w:rsid w:val="003C49ED"/>
    <w:rsid w:val="003C6CEF"/>
    <w:rsid w:val="003D0D01"/>
    <w:rsid w:val="003D283B"/>
    <w:rsid w:val="003D535D"/>
    <w:rsid w:val="003F1954"/>
    <w:rsid w:val="003F22E5"/>
    <w:rsid w:val="003F2D27"/>
    <w:rsid w:val="003F2E3B"/>
    <w:rsid w:val="003F5217"/>
    <w:rsid w:val="003F6498"/>
    <w:rsid w:val="00402DFA"/>
    <w:rsid w:val="0040415F"/>
    <w:rsid w:val="00404D86"/>
    <w:rsid w:val="0040527B"/>
    <w:rsid w:val="00405361"/>
    <w:rsid w:val="00410D54"/>
    <w:rsid w:val="004139B5"/>
    <w:rsid w:val="004139F0"/>
    <w:rsid w:val="00415D56"/>
    <w:rsid w:val="00420583"/>
    <w:rsid w:val="00431BB4"/>
    <w:rsid w:val="0043789D"/>
    <w:rsid w:val="00445267"/>
    <w:rsid w:val="00454F9D"/>
    <w:rsid w:val="004561FF"/>
    <w:rsid w:val="00457A21"/>
    <w:rsid w:val="00461164"/>
    <w:rsid w:val="004623EC"/>
    <w:rsid w:val="0046367F"/>
    <w:rsid w:val="004646DC"/>
    <w:rsid w:val="00466979"/>
    <w:rsid w:val="00466AC4"/>
    <w:rsid w:val="00470777"/>
    <w:rsid w:val="00470972"/>
    <w:rsid w:val="004732BE"/>
    <w:rsid w:val="004774BA"/>
    <w:rsid w:val="0047779A"/>
    <w:rsid w:val="00481AFE"/>
    <w:rsid w:val="00482C89"/>
    <w:rsid w:val="00482EDB"/>
    <w:rsid w:val="0048326C"/>
    <w:rsid w:val="00485440"/>
    <w:rsid w:val="004877E1"/>
    <w:rsid w:val="00487DC1"/>
    <w:rsid w:val="00492D36"/>
    <w:rsid w:val="00493281"/>
    <w:rsid w:val="004958CF"/>
    <w:rsid w:val="00496C05"/>
    <w:rsid w:val="004A0380"/>
    <w:rsid w:val="004A40B8"/>
    <w:rsid w:val="004A7B5F"/>
    <w:rsid w:val="004B04C5"/>
    <w:rsid w:val="004B3030"/>
    <w:rsid w:val="004B5B72"/>
    <w:rsid w:val="004B5BA7"/>
    <w:rsid w:val="004B5F55"/>
    <w:rsid w:val="004B69DF"/>
    <w:rsid w:val="004B7283"/>
    <w:rsid w:val="004C4B68"/>
    <w:rsid w:val="004C753F"/>
    <w:rsid w:val="004D23F2"/>
    <w:rsid w:val="004D4BF9"/>
    <w:rsid w:val="004D54D2"/>
    <w:rsid w:val="004E0968"/>
    <w:rsid w:val="004E23B0"/>
    <w:rsid w:val="004E7396"/>
    <w:rsid w:val="004F01CC"/>
    <w:rsid w:val="004F0317"/>
    <w:rsid w:val="004F1645"/>
    <w:rsid w:val="004F17F8"/>
    <w:rsid w:val="004F1FBE"/>
    <w:rsid w:val="004F59C5"/>
    <w:rsid w:val="004F7753"/>
    <w:rsid w:val="004F7F21"/>
    <w:rsid w:val="00500783"/>
    <w:rsid w:val="00501DC8"/>
    <w:rsid w:val="00502253"/>
    <w:rsid w:val="005038DA"/>
    <w:rsid w:val="00506D7A"/>
    <w:rsid w:val="0052218C"/>
    <w:rsid w:val="005237AE"/>
    <w:rsid w:val="00530F9F"/>
    <w:rsid w:val="00532DEC"/>
    <w:rsid w:val="005347E6"/>
    <w:rsid w:val="005355E0"/>
    <w:rsid w:val="00542A22"/>
    <w:rsid w:val="005508EC"/>
    <w:rsid w:val="00550D47"/>
    <w:rsid w:val="005516DB"/>
    <w:rsid w:val="00552EC8"/>
    <w:rsid w:val="0055674D"/>
    <w:rsid w:val="00557AC7"/>
    <w:rsid w:val="00560BE1"/>
    <w:rsid w:val="00561078"/>
    <w:rsid w:val="00561F85"/>
    <w:rsid w:val="00562772"/>
    <w:rsid w:val="00564234"/>
    <w:rsid w:val="005649B3"/>
    <w:rsid w:val="0056637F"/>
    <w:rsid w:val="005672DF"/>
    <w:rsid w:val="00571FC2"/>
    <w:rsid w:val="005734BC"/>
    <w:rsid w:val="00576069"/>
    <w:rsid w:val="005770FE"/>
    <w:rsid w:val="00587CBF"/>
    <w:rsid w:val="005939B2"/>
    <w:rsid w:val="005A0141"/>
    <w:rsid w:val="005A7B59"/>
    <w:rsid w:val="005B216A"/>
    <w:rsid w:val="005B4B3A"/>
    <w:rsid w:val="005B58A7"/>
    <w:rsid w:val="005B7597"/>
    <w:rsid w:val="005C0D8A"/>
    <w:rsid w:val="005C49AB"/>
    <w:rsid w:val="005C686B"/>
    <w:rsid w:val="005C6B58"/>
    <w:rsid w:val="005C6EEA"/>
    <w:rsid w:val="005D003D"/>
    <w:rsid w:val="005D1AED"/>
    <w:rsid w:val="005D5C6C"/>
    <w:rsid w:val="005E197D"/>
    <w:rsid w:val="005E555C"/>
    <w:rsid w:val="005E5569"/>
    <w:rsid w:val="005E7BCB"/>
    <w:rsid w:val="00600820"/>
    <w:rsid w:val="00602419"/>
    <w:rsid w:val="006040E0"/>
    <w:rsid w:val="00604CC3"/>
    <w:rsid w:val="00605573"/>
    <w:rsid w:val="00607C4A"/>
    <w:rsid w:val="00612ED9"/>
    <w:rsid w:val="00621C13"/>
    <w:rsid w:val="00622D67"/>
    <w:rsid w:val="00625023"/>
    <w:rsid w:val="00625208"/>
    <w:rsid w:val="00626CB0"/>
    <w:rsid w:val="00632A14"/>
    <w:rsid w:val="0063421A"/>
    <w:rsid w:val="006362C0"/>
    <w:rsid w:val="00637F81"/>
    <w:rsid w:val="006447C8"/>
    <w:rsid w:val="006479A2"/>
    <w:rsid w:val="00653585"/>
    <w:rsid w:val="00661C15"/>
    <w:rsid w:val="00662469"/>
    <w:rsid w:val="00662CC3"/>
    <w:rsid w:val="006660AB"/>
    <w:rsid w:val="00666EA1"/>
    <w:rsid w:val="00670C46"/>
    <w:rsid w:val="006749D1"/>
    <w:rsid w:val="006804B4"/>
    <w:rsid w:val="00682CE1"/>
    <w:rsid w:val="00683F4C"/>
    <w:rsid w:val="00684A40"/>
    <w:rsid w:val="00687312"/>
    <w:rsid w:val="00687695"/>
    <w:rsid w:val="006916A2"/>
    <w:rsid w:val="00694EC0"/>
    <w:rsid w:val="00696348"/>
    <w:rsid w:val="00696619"/>
    <w:rsid w:val="00696F0C"/>
    <w:rsid w:val="006A3137"/>
    <w:rsid w:val="006A3783"/>
    <w:rsid w:val="006A53D6"/>
    <w:rsid w:val="006B0FE9"/>
    <w:rsid w:val="006B1416"/>
    <w:rsid w:val="006C0CE7"/>
    <w:rsid w:val="006C1E84"/>
    <w:rsid w:val="006C20A7"/>
    <w:rsid w:val="006C38B0"/>
    <w:rsid w:val="006C50A7"/>
    <w:rsid w:val="006C6455"/>
    <w:rsid w:val="006D1314"/>
    <w:rsid w:val="006D1A36"/>
    <w:rsid w:val="006D2AEE"/>
    <w:rsid w:val="006D398E"/>
    <w:rsid w:val="006D5547"/>
    <w:rsid w:val="006D6F3D"/>
    <w:rsid w:val="006E2F17"/>
    <w:rsid w:val="006E3B4C"/>
    <w:rsid w:val="006E5566"/>
    <w:rsid w:val="006E5A0A"/>
    <w:rsid w:val="006E7CED"/>
    <w:rsid w:val="006F4525"/>
    <w:rsid w:val="006F4BBB"/>
    <w:rsid w:val="006F50AC"/>
    <w:rsid w:val="00703BAA"/>
    <w:rsid w:val="00705A56"/>
    <w:rsid w:val="0070723A"/>
    <w:rsid w:val="00707369"/>
    <w:rsid w:val="00715902"/>
    <w:rsid w:val="00715DE9"/>
    <w:rsid w:val="0071674C"/>
    <w:rsid w:val="007209B0"/>
    <w:rsid w:val="00730BC7"/>
    <w:rsid w:val="00732AEF"/>
    <w:rsid w:val="00737853"/>
    <w:rsid w:val="007452B6"/>
    <w:rsid w:val="0075185D"/>
    <w:rsid w:val="0075187D"/>
    <w:rsid w:val="0075356E"/>
    <w:rsid w:val="00756B5D"/>
    <w:rsid w:val="00761B08"/>
    <w:rsid w:val="0076637F"/>
    <w:rsid w:val="00766B27"/>
    <w:rsid w:val="0076720C"/>
    <w:rsid w:val="00770C1B"/>
    <w:rsid w:val="00780AEB"/>
    <w:rsid w:val="00780F22"/>
    <w:rsid w:val="0078172C"/>
    <w:rsid w:val="007846F4"/>
    <w:rsid w:val="00785418"/>
    <w:rsid w:val="00790ED3"/>
    <w:rsid w:val="007A772F"/>
    <w:rsid w:val="007A7E72"/>
    <w:rsid w:val="007B1116"/>
    <w:rsid w:val="007B19E5"/>
    <w:rsid w:val="007B2F30"/>
    <w:rsid w:val="007B3E4D"/>
    <w:rsid w:val="007B634D"/>
    <w:rsid w:val="007C1161"/>
    <w:rsid w:val="007C3555"/>
    <w:rsid w:val="007C4A72"/>
    <w:rsid w:val="007D06AC"/>
    <w:rsid w:val="007D0EB2"/>
    <w:rsid w:val="007D2B81"/>
    <w:rsid w:val="007E1B20"/>
    <w:rsid w:val="007E2FA0"/>
    <w:rsid w:val="007F1D60"/>
    <w:rsid w:val="007F2A4D"/>
    <w:rsid w:val="007F2E5B"/>
    <w:rsid w:val="007F7AF7"/>
    <w:rsid w:val="00801E4E"/>
    <w:rsid w:val="00805FD9"/>
    <w:rsid w:val="00807049"/>
    <w:rsid w:val="00811326"/>
    <w:rsid w:val="00813C06"/>
    <w:rsid w:val="00817F1B"/>
    <w:rsid w:val="00832BE1"/>
    <w:rsid w:val="00835D29"/>
    <w:rsid w:val="00840B57"/>
    <w:rsid w:val="00841070"/>
    <w:rsid w:val="0084197E"/>
    <w:rsid w:val="00850670"/>
    <w:rsid w:val="00851A97"/>
    <w:rsid w:val="008522C2"/>
    <w:rsid w:val="00853907"/>
    <w:rsid w:val="00854F35"/>
    <w:rsid w:val="008619F7"/>
    <w:rsid w:val="00864DEE"/>
    <w:rsid w:val="00865F65"/>
    <w:rsid w:val="00866ED3"/>
    <w:rsid w:val="00870252"/>
    <w:rsid w:val="008714A7"/>
    <w:rsid w:val="00871CAE"/>
    <w:rsid w:val="00881EEB"/>
    <w:rsid w:val="0088224B"/>
    <w:rsid w:val="00885223"/>
    <w:rsid w:val="0088742B"/>
    <w:rsid w:val="00887EAA"/>
    <w:rsid w:val="0089062B"/>
    <w:rsid w:val="0089705F"/>
    <w:rsid w:val="008974CD"/>
    <w:rsid w:val="008A0CE7"/>
    <w:rsid w:val="008B1345"/>
    <w:rsid w:val="008B1CAD"/>
    <w:rsid w:val="008B3A88"/>
    <w:rsid w:val="008B43D4"/>
    <w:rsid w:val="008B4CFB"/>
    <w:rsid w:val="008B6DD3"/>
    <w:rsid w:val="008B7113"/>
    <w:rsid w:val="008B7D21"/>
    <w:rsid w:val="008C26CC"/>
    <w:rsid w:val="008D3D70"/>
    <w:rsid w:val="008D7810"/>
    <w:rsid w:val="008D7D6C"/>
    <w:rsid w:val="008E067B"/>
    <w:rsid w:val="008E0ECE"/>
    <w:rsid w:val="008E4EEB"/>
    <w:rsid w:val="008E59A7"/>
    <w:rsid w:val="008E6E84"/>
    <w:rsid w:val="008F063F"/>
    <w:rsid w:val="00902ED4"/>
    <w:rsid w:val="00904546"/>
    <w:rsid w:val="00906767"/>
    <w:rsid w:val="00907D66"/>
    <w:rsid w:val="009113BD"/>
    <w:rsid w:val="00912EF8"/>
    <w:rsid w:val="009150D1"/>
    <w:rsid w:val="009174F1"/>
    <w:rsid w:val="00922240"/>
    <w:rsid w:val="00924649"/>
    <w:rsid w:val="00924FF3"/>
    <w:rsid w:val="009259CA"/>
    <w:rsid w:val="00925F4D"/>
    <w:rsid w:val="00926DCD"/>
    <w:rsid w:val="00932D3E"/>
    <w:rsid w:val="00943A26"/>
    <w:rsid w:val="00944C84"/>
    <w:rsid w:val="00945820"/>
    <w:rsid w:val="00952028"/>
    <w:rsid w:val="0095297E"/>
    <w:rsid w:val="00953570"/>
    <w:rsid w:val="009551A9"/>
    <w:rsid w:val="00956E73"/>
    <w:rsid w:val="00957C7B"/>
    <w:rsid w:val="009626B1"/>
    <w:rsid w:val="00962DC7"/>
    <w:rsid w:val="00963112"/>
    <w:rsid w:val="009659D8"/>
    <w:rsid w:val="00966288"/>
    <w:rsid w:val="009900C7"/>
    <w:rsid w:val="009912C5"/>
    <w:rsid w:val="00992405"/>
    <w:rsid w:val="009926ED"/>
    <w:rsid w:val="00994662"/>
    <w:rsid w:val="00994907"/>
    <w:rsid w:val="00996310"/>
    <w:rsid w:val="009A75A1"/>
    <w:rsid w:val="009B19F1"/>
    <w:rsid w:val="009B3EF1"/>
    <w:rsid w:val="009B5A6D"/>
    <w:rsid w:val="009B6F77"/>
    <w:rsid w:val="009C3C24"/>
    <w:rsid w:val="009C6DD1"/>
    <w:rsid w:val="009C7F3D"/>
    <w:rsid w:val="009D52B4"/>
    <w:rsid w:val="009D6382"/>
    <w:rsid w:val="009D761B"/>
    <w:rsid w:val="009E44BA"/>
    <w:rsid w:val="009E4AD9"/>
    <w:rsid w:val="009E4D5F"/>
    <w:rsid w:val="009E506A"/>
    <w:rsid w:val="009E707E"/>
    <w:rsid w:val="009E7474"/>
    <w:rsid w:val="009F1156"/>
    <w:rsid w:val="009F1E23"/>
    <w:rsid w:val="009F1F4A"/>
    <w:rsid w:val="00A035AE"/>
    <w:rsid w:val="00A04D91"/>
    <w:rsid w:val="00A11000"/>
    <w:rsid w:val="00A1547A"/>
    <w:rsid w:val="00A16F17"/>
    <w:rsid w:val="00A2110E"/>
    <w:rsid w:val="00A218C1"/>
    <w:rsid w:val="00A21C09"/>
    <w:rsid w:val="00A24144"/>
    <w:rsid w:val="00A24E34"/>
    <w:rsid w:val="00A26AC4"/>
    <w:rsid w:val="00A26D85"/>
    <w:rsid w:val="00A26E1D"/>
    <w:rsid w:val="00A27064"/>
    <w:rsid w:val="00A35B56"/>
    <w:rsid w:val="00A3620A"/>
    <w:rsid w:val="00A37406"/>
    <w:rsid w:val="00A45B7F"/>
    <w:rsid w:val="00A46452"/>
    <w:rsid w:val="00A51D78"/>
    <w:rsid w:val="00A53E8A"/>
    <w:rsid w:val="00A601A2"/>
    <w:rsid w:val="00A60302"/>
    <w:rsid w:val="00A63D75"/>
    <w:rsid w:val="00A661E2"/>
    <w:rsid w:val="00A71889"/>
    <w:rsid w:val="00A72582"/>
    <w:rsid w:val="00A7646E"/>
    <w:rsid w:val="00A765AC"/>
    <w:rsid w:val="00A77D6B"/>
    <w:rsid w:val="00A81646"/>
    <w:rsid w:val="00A84D97"/>
    <w:rsid w:val="00A85027"/>
    <w:rsid w:val="00A93291"/>
    <w:rsid w:val="00A933F5"/>
    <w:rsid w:val="00AA290B"/>
    <w:rsid w:val="00AA2E85"/>
    <w:rsid w:val="00AA3FAE"/>
    <w:rsid w:val="00AA539E"/>
    <w:rsid w:val="00AA70B5"/>
    <w:rsid w:val="00AA7EAE"/>
    <w:rsid w:val="00AB0A5A"/>
    <w:rsid w:val="00AC00B6"/>
    <w:rsid w:val="00AC018E"/>
    <w:rsid w:val="00AC25E2"/>
    <w:rsid w:val="00AC3051"/>
    <w:rsid w:val="00AC44C3"/>
    <w:rsid w:val="00AC553A"/>
    <w:rsid w:val="00AC5A84"/>
    <w:rsid w:val="00AD63A2"/>
    <w:rsid w:val="00AE27CC"/>
    <w:rsid w:val="00AE371C"/>
    <w:rsid w:val="00AE4ACB"/>
    <w:rsid w:val="00AF05F2"/>
    <w:rsid w:val="00AF252F"/>
    <w:rsid w:val="00AF330A"/>
    <w:rsid w:val="00AF3722"/>
    <w:rsid w:val="00AF4491"/>
    <w:rsid w:val="00AF5140"/>
    <w:rsid w:val="00AF6A2C"/>
    <w:rsid w:val="00AF7716"/>
    <w:rsid w:val="00B0062A"/>
    <w:rsid w:val="00B05ADF"/>
    <w:rsid w:val="00B06DA9"/>
    <w:rsid w:val="00B11D7F"/>
    <w:rsid w:val="00B173B2"/>
    <w:rsid w:val="00B204E7"/>
    <w:rsid w:val="00B2364A"/>
    <w:rsid w:val="00B25314"/>
    <w:rsid w:val="00B26539"/>
    <w:rsid w:val="00B26673"/>
    <w:rsid w:val="00B30954"/>
    <w:rsid w:val="00B328E2"/>
    <w:rsid w:val="00B33EE7"/>
    <w:rsid w:val="00B34B5A"/>
    <w:rsid w:val="00B40018"/>
    <w:rsid w:val="00B403D4"/>
    <w:rsid w:val="00B447E6"/>
    <w:rsid w:val="00B46699"/>
    <w:rsid w:val="00B54FE2"/>
    <w:rsid w:val="00B61EB7"/>
    <w:rsid w:val="00B72A52"/>
    <w:rsid w:val="00B74D0D"/>
    <w:rsid w:val="00B83738"/>
    <w:rsid w:val="00B87F6F"/>
    <w:rsid w:val="00B93874"/>
    <w:rsid w:val="00B97129"/>
    <w:rsid w:val="00BA2D04"/>
    <w:rsid w:val="00BA5E1C"/>
    <w:rsid w:val="00BA5EDA"/>
    <w:rsid w:val="00BA684C"/>
    <w:rsid w:val="00BB35E5"/>
    <w:rsid w:val="00BB439F"/>
    <w:rsid w:val="00BB4827"/>
    <w:rsid w:val="00BC28F3"/>
    <w:rsid w:val="00BC78CF"/>
    <w:rsid w:val="00BD17DA"/>
    <w:rsid w:val="00BD36A4"/>
    <w:rsid w:val="00BD48C4"/>
    <w:rsid w:val="00BD4F43"/>
    <w:rsid w:val="00BD6541"/>
    <w:rsid w:val="00BD7198"/>
    <w:rsid w:val="00BD738F"/>
    <w:rsid w:val="00BE0BE9"/>
    <w:rsid w:val="00BE22B6"/>
    <w:rsid w:val="00BF29CB"/>
    <w:rsid w:val="00BF33F7"/>
    <w:rsid w:val="00BF3EB7"/>
    <w:rsid w:val="00BF6DFF"/>
    <w:rsid w:val="00C00903"/>
    <w:rsid w:val="00C01F59"/>
    <w:rsid w:val="00C05BB5"/>
    <w:rsid w:val="00C11C51"/>
    <w:rsid w:val="00C11F54"/>
    <w:rsid w:val="00C14D58"/>
    <w:rsid w:val="00C156DD"/>
    <w:rsid w:val="00C15F89"/>
    <w:rsid w:val="00C21428"/>
    <w:rsid w:val="00C22AF4"/>
    <w:rsid w:val="00C245B8"/>
    <w:rsid w:val="00C25734"/>
    <w:rsid w:val="00C279F5"/>
    <w:rsid w:val="00C27EF7"/>
    <w:rsid w:val="00C31487"/>
    <w:rsid w:val="00C330D5"/>
    <w:rsid w:val="00C33EEF"/>
    <w:rsid w:val="00C34B6D"/>
    <w:rsid w:val="00C447AC"/>
    <w:rsid w:val="00C4505E"/>
    <w:rsid w:val="00C45DB2"/>
    <w:rsid w:val="00C53D68"/>
    <w:rsid w:val="00C607C0"/>
    <w:rsid w:val="00C7223F"/>
    <w:rsid w:val="00C72915"/>
    <w:rsid w:val="00C85269"/>
    <w:rsid w:val="00C92F7E"/>
    <w:rsid w:val="00C9525E"/>
    <w:rsid w:val="00C9727F"/>
    <w:rsid w:val="00C975EA"/>
    <w:rsid w:val="00CA267C"/>
    <w:rsid w:val="00CA2C1E"/>
    <w:rsid w:val="00CA2F8B"/>
    <w:rsid w:val="00CA4BEB"/>
    <w:rsid w:val="00CB0896"/>
    <w:rsid w:val="00CB162A"/>
    <w:rsid w:val="00CB3C92"/>
    <w:rsid w:val="00CB432A"/>
    <w:rsid w:val="00CB6749"/>
    <w:rsid w:val="00CB7448"/>
    <w:rsid w:val="00CB7B60"/>
    <w:rsid w:val="00CC31C4"/>
    <w:rsid w:val="00CC614A"/>
    <w:rsid w:val="00CD1838"/>
    <w:rsid w:val="00CD3CA4"/>
    <w:rsid w:val="00CD5BFB"/>
    <w:rsid w:val="00CD79A8"/>
    <w:rsid w:val="00CE123B"/>
    <w:rsid w:val="00CE3103"/>
    <w:rsid w:val="00CE4BFE"/>
    <w:rsid w:val="00CE5C9C"/>
    <w:rsid w:val="00CF01E9"/>
    <w:rsid w:val="00CF1634"/>
    <w:rsid w:val="00CF481F"/>
    <w:rsid w:val="00CF4D2F"/>
    <w:rsid w:val="00CF620B"/>
    <w:rsid w:val="00CF6C69"/>
    <w:rsid w:val="00CF77A9"/>
    <w:rsid w:val="00D04CF3"/>
    <w:rsid w:val="00D0612D"/>
    <w:rsid w:val="00D06F0F"/>
    <w:rsid w:val="00D1011E"/>
    <w:rsid w:val="00D104F6"/>
    <w:rsid w:val="00D10A73"/>
    <w:rsid w:val="00D13343"/>
    <w:rsid w:val="00D16A9A"/>
    <w:rsid w:val="00D17D74"/>
    <w:rsid w:val="00D224C9"/>
    <w:rsid w:val="00D27582"/>
    <w:rsid w:val="00D27A09"/>
    <w:rsid w:val="00D355CC"/>
    <w:rsid w:val="00D418AD"/>
    <w:rsid w:val="00D51E3A"/>
    <w:rsid w:val="00D523ED"/>
    <w:rsid w:val="00D52619"/>
    <w:rsid w:val="00D54D25"/>
    <w:rsid w:val="00D54D42"/>
    <w:rsid w:val="00D57255"/>
    <w:rsid w:val="00D62523"/>
    <w:rsid w:val="00D626EF"/>
    <w:rsid w:val="00D65253"/>
    <w:rsid w:val="00D67F2F"/>
    <w:rsid w:val="00D72997"/>
    <w:rsid w:val="00D75166"/>
    <w:rsid w:val="00D7562B"/>
    <w:rsid w:val="00D76857"/>
    <w:rsid w:val="00D76F6E"/>
    <w:rsid w:val="00D77785"/>
    <w:rsid w:val="00D8082F"/>
    <w:rsid w:val="00D83A9F"/>
    <w:rsid w:val="00D84224"/>
    <w:rsid w:val="00D918B8"/>
    <w:rsid w:val="00D956D6"/>
    <w:rsid w:val="00DA1F42"/>
    <w:rsid w:val="00DA3F49"/>
    <w:rsid w:val="00DA4B7A"/>
    <w:rsid w:val="00DC21C1"/>
    <w:rsid w:val="00DC331A"/>
    <w:rsid w:val="00DD042C"/>
    <w:rsid w:val="00DD07BD"/>
    <w:rsid w:val="00DD0FB8"/>
    <w:rsid w:val="00DD4C3D"/>
    <w:rsid w:val="00DD60E2"/>
    <w:rsid w:val="00DE36BD"/>
    <w:rsid w:val="00DE67F4"/>
    <w:rsid w:val="00DF01D0"/>
    <w:rsid w:val="00DF2103"/>
    <w:rsid w:val="00DF28E0"/>
    <w:rsid w:val="00DF2ECD"/>
    <w:rsid w:val="00DF4666"/>
    <w:rsid w:val="00DF5B75"/>
    <w:rsid w:val="00DF66F0"/>
    <w:rsid w:val="00E00579"/>
    <w:rsid w:val="00E01663"/>
    <w:rsid w:val="00E03558"/>
    <w:rsid w:val="00E037D5"/>
    <w:rsid w:val="00E04A87"/>
    <w:rsid w:val="00E07600"/>
    <w:rsid w:val="00E11469"/>
    <w:rsid w:val="00E11B68"/>
    <w:rsid w:val="00E122FB"/>
    <w:rsid w:val="00E15A94"/>
    <w:rsid w:val="00E27BBF"/>
    <w:rsid w:val="00E33406"/>
    <w:rsid w:val="00E3698A"/>
    <w:rsid w:val="00E37B4D"/>
    <w:rsid w:val="00E4002F"/>
    <w:rsid w:val="00E42658"/>
    <w:rsid w:val="00E44D1E"/>
    <w:rsid w:val="00E46C2A"/>
    <w:rsid w:val="00E500C5"/>
    <w:rsid w:val="00E508F4"/>
    <w:rsid w:val="00E51E85"/>
    <w:rsid w:val="00E52A20"/>
    <w:rsid w:val="00E54DFE"/>
    <w:rsid w:val="00E55D1E"/>
    <w:rsid w:val="00E5668E"/>
    <w:rsid w:val="00E57029"/>
    <w:rsid w:val="00E609B5"/>
    <w:rsid w:val="00E61DE0"/>
    <w:rsid w:val="00E62BC7"/>
    <w:rsid w:val="00E63122"/>
    <w:rsid w:val="00E63F06"/>
    <w:rsid w:val="00E64886"/>
    <w:rsid w:val="00E6798F"/>
    <w:rsid w:val="00E67E0B"/>
    <w:rsid w:val="00E76EEA"/>
    <w:rsid w:val="00E7751B"/>
    <w:rsid w:val="00E808A2"/>
    <w:rsid w:val="00E809E7"/>
    <w:rsid w:val="00E90079"/>
    <w:rsid w:val="00E92EB2"/>
    <w:rsid w:val="00EA73E5"/>
    <w:rsid w:val="00EB3664"/>
    <w:rsid w:val="00EB3AF7"/>
    <w:rsid w:val="00EB6BC0"/>
    <w:rsid w:val="00EC1BD3"/>
    <w:rsid w:val="00ED2423"/>
    <w:rsid w:val="00ED74D3"/>
    <w:rsid w:val="00EE2B0A"/>
    <w:rsid w:val="00EE3198"/>
    <w:rsid w:val="00EE31DA"/>
    <w:rsid w:val="00EE4080"/>
    <w:rsid w:val="00EE7EFE"/>
    <w:rsid w:val="00EF57C9"/>
    <w:rsid w:val="00F01478"/>
    <w:rsid w:val="00F0297E"/>
    <w:rsid w:val="00F03265"/>
    <w:rsid w:val="00F077A3"/>
    <w:rsid w:val="00F07B1B"/>
    <w:rsid w:val="00F10471"/>
    <w:rsid w:val="00F112F6"/>
    <w:rsid w:val="00F158EE"/>
    <w:rsid w:val="00F15EF8"/>
    <w:rsid w:val="00F25C1E"/>
    <w:rsid w:val="00F26EF7"/>
    <w:rsid w:val="00F32774"/>
    <w:rsid w:val="00F36585"/>
    <w:rsid w:val="00F42B15"/>
    <w:rsid w:val="00F448E2"/>
    <w:rsid w:val="00F5031F"/>
    <w:rsid w:val="00F52357"/>
    <w:rsid w:val="00F529D7"/>
    <w:rsid w:val="00F5322B"/>
    <w:rsid w:val="00F56AEB"/>
    <w:rsid w:val="00F6131B"/>
    <w:rsid w:val="00F61D17"/>
    <w:rsid w:val="00F67B2B"/>
    <w:rsid w:val="00F7451E"/>
    <w:rsid w:val="00F76832"/>
    <w:rsid w:val="00F77D76"/>
    <w:rsid w:val="00F80B45"/>
    <w:rsid w:val="00F862F2"/>
    <w:rsid w:val="00F9005F"/>
    <w:rsid w:val="00F910F0"/>
    <w:rsid w:val="00F954B8"/>
    <w:rsid w:val="00FA00C8"/>
    <w:rsid w:val="00FA29EF"/>
    <w:rsid w:val="00FA36B4"/>
    <w:rsid w:val="00FA440F"/>
    <w:rsid w:val="00FB04E0"/>
    <w:rsid w:val="00FB5D38"/>
    <w:rsid w:val="00FB795E"/>
    <w:rsid w:val="00FC0D8B"/>
    <w:rsid w:val="00FC144A"/>
    <w:rsid w:val="00FC3C7F"/>
    <w:rsid w:val="00FC5406"/>
    <w:rsid w:val="00FD075D"/>
    <w:rsid w:val="00FD222B"/>
    <w:rsid w:val="00FD44EF"/>
    <w:rsid w:val="00FD491E"/>
    <w:rsid w:val="00FE6719"/>
    <w:rsid w:val="00FF2385"/>
    <w:rsid w:val="00FF5792"/>
    <w:rsid w:val="00FF6205"/>
    <w:rsid w:val="00FF69EA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42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D183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183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"/>
    <w:basedOn w:val="3"/>
    <w:next w:val="a"/>
    <w:link w:val="40"/>
    <w:semiHidden/>
    <w:unhideWhenUsed/>
    <w:qFormat/>
    <w:rsid w:val="00CD1838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B1Zchn">
    <w:name w:val="B1 Zchn"/>
    <w:link w:val="B1"/>
    <w:qFormat/>
    <w:locked/>
    <w:rsid w:val="00E33406"/>
    <w:rPr>
      <w:rFonts w:ascii="Times New Roman" w:eastAsia="Times New Roman" w:hAnsi="Times New Roman" w:cs="Times New Roman"/>
    </w:rPr>
  </w:style>
  <w:style w:type="paragraph" w:customStyle="1" w:styleId="B1">
    <w:name w:val="B1"/>
    <w:basedOn w:val="af2"/>
    <w:link w:val="B1Zchn"/>
    <w:rsid w:val="00E33406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</w:rPr>
  </w:style>
  <w:style w:type="paragraph" w:styleId="af2">
    <w:name w:val="List"/>
    <w:basedOn w:val="a"/>
    <w:uiPriority w:val="99"/>
    <w:semiHidden/>
    <w:unhideWhenUsed/>
    <w:rsid w:val="00E33406"/>
    <w:pPr>
      <w:ind w:left="200" w:hangingChars="200" w:hanging="200"/>
      <w:contextualSpacing/>
    </w:pPr>
  </w:style>
  <w:style w:type="character" w:customStyle="1" w:styleId="40">
    <w:name w:val="标题 4 字符"/>
    <w:aliases w:val="h4 字符"/>
    <w:basedOn w:val="a0"/>
    <w:link w:val="4"/>
    <w:semiHidden/>
    <w:rsid w:val="00CD1838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customStyle="1" w:styleId="B1Char1">
    <w:name w:val="B1 Char1"/>
    <w:locked/>
    <w:rsid w:val="00CD1838"/>
    <w:rPr>
      <w:rFonts w:ascii="Times New Roman" w:eastAsia="Times New Roman" w:hAnsi="Times New Roman" w:cs="Times New Roman"/>
      <w:lang w:val="en-GB" w:eastAsia="en-GB"/>
    </w:rPr>
  </w:style>
  <w:style w:type="character" w:customStyle="1" w:styleId="TFZchn">
    <w:name w:val="TF Zchn"/>
    <w:link w:val="TF"/>
    <w:locked/>
    <w:rsid w:val="00CD1838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a"/>
    <w:link w:val="TFZchn"/>
    <w:rsid w:val="00CD1838"/>
    <w:pPr>
      <w:keepLines/>
      <w:widowControl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lang w:val="en-GB" w:eastAsia="en-GB"/>
    </w:rPr>
  </w:style>
  <w:style w:type="character" w:customStyle="1" w:styleId="30">
    <w:name w:val="标题 3 字符"/>
    <w:basedOn w:val="a0"/>
    <w:link w:val="3"/>
    <w:uiPriority w:val="9"/>
    <w:semiHidden/>
    <w:rsid w:val="00CD1838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D1838"/>
    <w:rPr>
      <w:b/>
      <w:bCs/>
      <w:kern w:val="44"/>
      <w:sz w:val="44"/>
      <w:szCs w:val="44"/>
    </w:rPr>
  </w:style>
  <w:style w:type="paragraph" w:customStyle="1" w:styleId="maintext">
    <w:name w:val="main text"/>
    <w:basedOn w:val="a"/>
    <w:link w:val="maintextChar"/>
    <w:qFormat/>
    <w:rsid w:val="00236927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23692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styleId="af3">
    <w:name w:val="Normal (Web)"/>
    <w:basedOn w:val="a"/>
    <w:uiPriority w:val="99"/>
    <w:unhideWhenUsed/>
    <w:rsid w:val="00E11B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2474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829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55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640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7421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608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65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73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2013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297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202">
          <w:marLeft w:val="131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5554</TotalTime>
  <Pages>4</Pages>
  <Words>1776</Words>
  <Characters>10124</Characters>
  <Application>Microsoft Office Word</Application>
  <DocSecurity>0</DocSecurity>
  <Lines>84</Lines>
  <Paragraphs>23</Paragraphs>
  <ScaleCrop>false</ScaleCrop>
  <Company/>
  <LinksUpToDate>false</LinksUpToDate>
  <CharactersWithSpaces>11877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Yibin</cp:lastModifiedBy>
  <cp:revision>724</cp:revision>
  <dcterms:created xsi:type="dcterms:W3CDTF">2021-01-15T00:45:00Z</dcterms:created>
  <dcterms:modified xsi:type="dcterms:W3CDTF">2023-04-07T01:20:00Z</dcterms:modified>
</cp:coreProperties>
</file>